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735" w:rsidRDefault="00415DE6" w:rsidP="00691B66">
      <w:pPr>
        <w:spacing w:line="360" w:lineRule="auto"/>
        <w:ind w:left="993" w:firstLine="423"/>
        <w:rPr>
          <w:rFonts w:ascii="Arial" w:hAnsi="Arial" w:cs="Arial"/>
          <w:b/>
          <w:sz w:val="22"/>
          <w:szCs w:val="22"/>
        </w:rPr>
      </w:pPr>
      <w:r w:rsidRPr="00415DE6">
        <w:rPr>
          <w:rFonts w:ascii="Arial" w:hAnsi="Arial" w:cs="Arial"/>
          <w:b/>
          <w:noProof/>
          <w:sz w:val="22"/>
          <w:szCs w:val="22"/>
        </w:rPr>
        <w:drawing>
          <wp:anchor distT="0" distB="0" distL="114300" distR="114300" simplePos="0" relativeHeight="251658240" behindDoc="0" locked="0" layoutInCell="1" allowOverlap="1">
            <wp:simplePos x="0" y="0"/>
            <wp:positionH relativeFrom="column">
              <wp:posOffset>-556895</wp:posOffset>
            </wp:positionH>
            <wp:positionV relativeFrom="paragraph">
              <wp:posOffset>-544830</wp:posOffset>
            </wp:positionV>
            <wp:extent cx="1343025" cy="1238250"/>
            <wp:effectExtent l="19050" t="0" r="0" b="0"/>
            <wp:wrapSquare wrapText="bothSides"/>
            <wp:docPr id="1" name="Picture 1" descr="macbook:Users:macbook:Desktop:bbb.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book:Users:macbook:Desktop:bbb.pdf"/>
                    <pic:cNvPicPr>
                      <a:picLocks noChangeAspect="1" noChangeArrowheads="1"/>
                    </pic:cNvPicPr>
                  </pic:nvPicPr>
                  <pic:blipFill rotWithShape="1">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944" t="6842" r="72857"/>
                    <a:stretch/>
                  </pic:blipFill>
                  <pic:spPr bwMode="auto">
                    <a:xfrm>
                      <a:off x="0" y="0"/>
                      <a:ext cx="1343025" cy="123825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D67735">
        <w:rPr>
          <w:rFonts w:ascii="Arial" w:hAnsi="Arial" w:cs="Arial"/>
          <w:b/>
          <w:sz w:val="22"/>
          <w:szCs w:val="22"/>
        </w:rPr>
        <w:t xml:space="preserve">                                                                                                  </w:t>
      </w:r>
      <w:r w:rsidR="00691B66">
        <w:rPr>
          <w:rFonts w:ascii="Arial" w:hAnsi="Arial" w:cs="Arial"/>
          <w:b/>
          <w:sz w:val="22"/>
          <w:szCs w:val="22"/>
        </w:rPr>
        <w:t xml:space="preserve">      </w:t>
      </w:r>
      <w:r w:rsidR="00D67735">
        <w:rPr>
          <w:rFonts w:ascii="Arial" w:hAnsi="Arial" w:cs="Arial"/>
          <w:b/>
          <w:sz w:val="22"/>
          <w:szCs w:val="22"/>
        </w:rPr>
        <w:t xml:space="preserve">   </w:t>
      </w:r>
      <w:r w:rsidR="00472EB3">
        <w:rPr>
          <w:rFonts w:ascii="Arial" w:hAnsi="Arial" w:cs="Arial"/>
          <w:b/>
          <w:sz w:val="22"/>
          <w:szCs w:val="22"/>
        </w:rPr>
        <w:t>0</w:t>
      </w:r>
      <w:r w:rsidR="00C34A8D">
        <w:rPr>
          <w:rFonts w:ascii="Arial" w:hAnsi="Arial" w:cs="Arial"/>
          <w:b/>
          <w:sz w:val="22"/>
          <w:szCs w:val="22"/>
        </w:rPr>
        <w:t>5</w:t>
      </w:r>
      <w:r w:rsidR="00472EB3">
        <w:rPr>
          <w:rFonts w:ascii="Arial" w:hAnsi="Arial" w:cs="Arial"/>
          <w:b/>
          <w:sz w:val="22"/>
          <w:szCs w:val="22"/>
        </w:rPr>
        <w:t>.</w:t>
      </w:r>
      <w:r w:rsidR="00556047">
        <w:rPr>
          <w:rFonts w:ascii="Arial" w:hAnsi="Arial" w:cs="Arial"/>
          <w:b/>
          <w:sz w:val="22"/>
          <w:szCs w:val="22"/>
        </w:rPr>
        <w:t>0</w:t>
      </w:r>
      <w:r w:rsidR="00472EB3">
        <w:rPr>
          <w:rFonts w:ascii="Arial" w:hAnsi="Arial" w:cs="Arial"/>
          <w:b/>
          <w:sz w:val="22"/>
          <w:szCs w:val="22"/>
        </w:rPr>
        <w:t>6</w:t>
      </w:r>
      <w:r w:rsidR="00691B66" w:rsidRPr="00661A84">
        <w:rPr>
          <w:rFonts w:ascii="Arial" w:hAnsi="Arial" w:cs="Arial"/>
          <w:b/>
          <w:sz w:val="22"/>
          <w:szCs w:val="22"/>
        </w:rPr>
        <w:t>.201</w:t>
      </w:r>
      <w:r w:rsidR="00264D6A">
        <w:rPr>
          <w:rFonts w:ascii="Arial" w:hAnsi="Arial" w:cs="Arial"/>
          <w:b/>
          <w:sz w:val="22"/>
          <w:szCs w:val="22"/>
        </w:rPr>
        <w:t>8</w:t>
      </w:r>
      <w:r w:rsidR="00691B66" w:rsidRPr="00661A84">
        <w:rPr>
          <w:rFonts w:ascii="Arial" w:hAnsi="Arial" w:cs="Arial"/>
          <w:b/>
          <w:sz w:val="22"/>
          <w:szCs w:val="22"/>
        </w:rPr>
        <w:t xml:space="preserve">  </w:t>
      </w:r>
      <w:r w:rsidR="00691B66">
        <w:rPr>
          <w:rFonts w:ascii="Arial" w:hAnsi="Arial" w:cs="Arial"/>
          <w:b/>
          <w:sz w:val="22"/>
          <w:szCs w:val="22"/>
        </w:rPr>
        <w:t xml:space="preserve">    </w:t>
      </w:r>
      <w:r w:rsidR="00D67735">
        <w:rPr>
          <w:rFonts w:ascii="Arial" w:hAnsi="Arial" w:cs="Arial"/>
          <w:b/>
          <w:sz w:val="22"/>
          <w:szCs w:val="22"/>
        </w:rPr>
        <w:t xml:space="preserve">  </w:t>
      </w:r>
      <w:r w:rsidR="004A2169">
        <w:rPr>
          <w:rFonts w:ascii="Arial" w:hAnsi="Arial" w:cs="Arial"/>
          <w:b/>
          <w:sz w:val="22"/>
          <w:szCs w:val="22"/>
        </w:rPr>
        <w:t xml:space="preserve">                </w:t>
      </w:r>
      <w:r w:rsidR="00D67735">
        <w:rPr>
          <w:rFonts w:ascii="Arial" w:hAnsi="Arial" w:cs="Arial"/>
          <w:b/>
          <w:sz w:val="22"/>
          <w:szCs w:val="22"/>
        </w:rPr>
        <w:t xml:space="preserve">   </w:t>
      </w:r>
      <w:r w:rsidR="004B4D6A">
        <w:rPr>
          <w:rFonts w:ascii="Arial" w:hAnsi="Arial" w:cs="Arial"/>
          <w:b/>
          <w:sz w:val="22"/>
          <w:szCs w:val="22"/>
        </w:rPr>
        <w:t xml:space="preserve">       </w:t>
      </w:r>
      <w:r w:rsidR="00E76A33">
        <w:rPr>
          <w:rFonts w:ascii="Arial" w:hAnsi="Arial" w:cs="Arial"/>
          <w:b/>
          <w:sz w:val="22"/>
          <w:szCs w:val="22"/>
        </w:rPr>
        <w:t xml:space="preserve">          </w:t>
      </w:r>
      <w:r w:rsidR="00AF4F9B">
        <w:rPr>
          <w:rFonts w:ascii="Arial" w:hAnsi="Arial" w:cs="Arial"/>
          <w:b/>
          <w:sz w:val="22"/>
          <w:szCs w:val="22"/>
        </w:rPr>
        <w:t xml:space="preserve">    </w:t>
      </w:r>
      <w:r w:rsidR="00691B66">
        <w:rPr>
          <w:rFonts w:ascii="Arial" w:hAnsi="Arial" w:cs="Arial"/>
          <w:b/>
          <w:sz w:val="22"/>
          <w:szCs w:val="22"/>
        </w:rPr>
        <w:t xml:space="preserve">   </w:t>
      </w:r>
    </w:p>
    <w:p w:rsidR="00235F0C" w:rsidRDefault="00235F0C" w:rsidP="00E7231B">
      <w:pPr>
        <w:spacing w:line="360" w:lineRule="auto"/>
        <w:ind w:left="993"/>
        <w:rPr>
          <w:rFonts w:ascii="Arial" w:hAnsi="Arial" w:cs="Arial"/>
          <w:b/>
          <w:sz w:val="28"/>
          <w:szCs w:val="28"/>
        </w:rPr>
      </w:pPr>
    </w:p>
    <w:p w:rsidR="00411391" w:rsidRDefault="00D67735" w:rsidP="00E7231B">
      <w:pPr>
        <w:spacing w:line="360" w:lineRule="auto"/>
        <w:ind w:left="993"/>
        <w:rPr>
          <w:rFonts w:ascii="Arial" w:hAnsi="Arial" w:cs="Arial"/>
          <w:b/>
          <w:sz w:val="28"/>
          <w:szCs w:val="28"/>
        </w:rPr>
      </w:pPr>
      <w:r w:rsidRPr="00526462">
        <w:rPr>
          <w:rFonts w:ascii="Arial" w:hAnsi="Arial" w:cs="Arial"/>
          <w:b/>
          <w:sz w:val="28"/>
          <w:szCs w:val="28"/>
        </w:rPr>
        <w:t>EKONOMİK İŞLER BAŞKANLIĞI</w:t>
      </w:r>
      <w:r w:rsidR="00C15807">
        <w:rPr>
          <w:rFonts w:ascii="Arial" w:hAnsi="Arial" w:cs="Arial"/>
          <w:b/>
          <w:sz w:val="28"/>
          <w:szCs w:val="28"/>
        </w:rPr>
        <w:t xml:space="preserve"> </w:t>
      </w:r>
      <w:r w:rsidR="00F60EAB">
        <w:rPr>
          <w:rFonts w:ascii="Arial" w:hAnsi="Arial" w:cs="Arial"/>
          <w:b/>
          <w:sz w:val="28"/>
          <w:szCs w:val="28"/>
        </w:rPr>
        <w:t>MAYIS</w:t>
      </w:r>
      <w:r w:rsidR="00C32687">
        <w:rPr>
          <w:rFonts w:ascii="Arial" w:hAnsi="Arial" w:cs="Arial"/>
          <w:b/>
          <w:sz w:val="28"/>
          <w:szCs w:val="28"/>
        </w:rPr>
        <w:t xml:space="preserve"> </w:t>
      </w:r>
      <w:r w:rsidR="00C15807">
        <w:rPr>
          <w:rFonts w:ascii="Arial" w:hAnsi="Arial" w:cs="Arial"/>
          <w:b/>
          <w:sz w:val="28"/>
          <w:szCs w:val="28"/>
        </w:rPr>
        <w:t>201</w:t>
      </w:r>
      <w:r w:rsidR="00556047">
        <w:rPr>
          <w:rFonts w:ascii="Arial" w:hAnsi="Arial" w:cs="Arial"/>
          <w:b/>
          <w:sz w:val="28"/>
          <w:szCs w:val="28"/>
        </w:rPr>
        <w:t>8</w:t>
      </w:r>
      <w:r w:rsidR="00C15807">
        <w:rPr>
          <w:rFonts w:ascii="Arial" w:hAnsi="Arial" w:cs="Arial"/>
          <w:b/>
          <w:sz w:val="28"/>
          <w:szCs w:val="28"/>
        </w:rPr>
        <w:t xml:space="preserve"> RAPORU</w:t>
      </w:r>
      <w:r w:rsidR="00411391">
        <w:rPr>
          <w:rFonts w:ascii="Arial" w:hAnsi="Arial" w:cs="Arial"/>
          <w:b/>
          <w:sz w:val="28"/>
          <w:szCs w:val="28"/>
        </w:rPr>
        <w:t xml:space="preserve">          </w:t>
      </w:r>
    </w:p>
    <w:p w:rsidR="00C15807" w:rsidRDefault="00411391" w:rsidP="00411391">
      <w:pPr>
        <w:spacing w:line="360" w:lineRule="auto"/>
        <w:ind w:left="2409" w:firstLine="423"/>
        <w:rPr>
          <w:rFonts w:ascii="Arial" w:hAnsi="Arial" w:cs="Arial"/>
          <w:b/>
          <w:sz w:val="22"/>
          <w:szCs w:val="22"/>
        </w:rPr>
      </w:pPr>
      <w:r>
        <w:rPr>
          <w:rFonts w:ascii="Arial" w:hAnsi="Arial" w:cs="Arial"/>
          <w:b/>
          <w:sz w:val="28"/>
          <w:szCs w:val="28"/>
        </w:rPr>
        <w:t xml:space="preserve">        </w:t>
      </w:r>
      <w:r w:rsidR="0090748D">
        <w:rPr>
          <w:rFonts w:ascii="Arial" w:hAnsi="Arial" w:cs="Arial"/>
          <w:b/>
          <w:sz w:val="28"/>
          <w:szCs w:val="28"/>
        </w:rPr>
        <w:t xml:space="preserve">                   </w:t>
      </w:r>
      <w:r>
        <w:rPr>
          <w:rFonts w:ascii="Arial" w:hAnsi="Arial" w:cs="Arial"/>
          <w:b/>
          <w:sz w:val="28"/>
          <w:szCs w:val="28"/>
        </w:rPr>
        <w:t xml:space="preserve">                           </w:t>
      </w:r>
    </w:p>
    <w:p w:rsidR="00DF0B19" w:rsidRDefault="003268BB" w:rsidP="00274A36">
      <w:pPr>
        <w:spacing w:line="360" w:lineRule="auto"/>
        <w:ind w:firstLine="708"/>
        <w:jc w:val="both"/>
        <w:rPr>
          <w:rFonts w:ascii="Arial" w:hAnsi="Arial" w:cs="Arial"/>
          <w:sz w:val="20"/>
          <w:szCs w:val="20"/>
        </w:rPr>
      </w:pPr>
      <w:r>
        <w:rPr>
          <w:rFonts w:ascii="Arial" w:hAnsi="Arial" w:cs="Arial"/>
          <w:sz w:val="20"/>
          <w:szCs w:val="20"/>
        </w:rPr>
        <w:t xml:space="preserve">Ülkemiz çok sayıda ekonomik, sosyal ve siyasal sorunlar içinde kıvranırken </w:t>
      </w:r>
      <w:r w:rsidR="00E45834">
        <w:rPr>
          <w:rFonts w:ascii="Arial" w:hAnsi="Arial" w:cs="Arial"/>
          <w:sz w:val="20"/>
          <w:szCs w:val="20"/>
        </w:rPr>
        <w:t xml:space="preserve">AK Parti iktidarı tarafından </w:t>
      </w:r>
      <w:r w:rsidR="00DF0B19">
        <w:rPr>
          <w:rFonts w:ascii="Arial" w:hAnsi="Arial" w:cs="Arial"/>
          <w:sz w:val="20"/>
          <w:szCs w:val="20"/>
        </w:rPr>
        <w:t xml:space="preserve">Milletvekili ve Cumhurbaşkanlığı </w:t>
      </w:r>
      <w:r w:rsidR="00717F43">
        <w:rPr>
          <w:rFonts w:ascii="Arial" w:hAnsi="Arial" w:cs="Arial"/>
          <w:sz w:val="20"/>
          <w:szCs w:val="20"/>
        </w:rPr>
        <w:t>seçimleri</w:t>
      </w:r>
      <w:r w:rsidR="001E1476">
        <w:rPr>
          <w:rFonts w:ascii="Arial" w:hAnsi="Arial" w:cs="Arial"/>
          <w:sz w:val="20"/>
          <w:szCs w:val="20"/>
        </w:rPr>
        <w:t xml:space="preserve">nin </w:t>
      </w:r>
      <w:r w:rsidR="00E45834">
        <w:rPr>
          <w:rFonts w:ascii="Arial" w:hAnsi="Arial" w:cs="Arial"/>
          <w:sz w:val="20"/>
          <w:szCs w:val="20"/>
        </w:rPr>
        <w:t xml:space="preserve">24 Haziran 2018’de yapılması kararı alındı. </w:t>
      </w:r>
      <w:r w:rsidR="001E1476">
        <w:rPr>
          <w:rFonts w:ascii="Arial" w:hAnsi="Arial" w:cs="Arial"/>
          <w:sz w:val="20"/>
          <w:szCs w:val="20"/>
        </w:rPr>
        <w:t>S</w:t>
      </w:r>
      <w:r w:rsidR="00E45834">
        <w:rPr>
          <w:rFonts w:ascii="Arial" w:hAnsi="Arial" w:cs="Arial"/>
          <w:sz w:val="20"/>
          <w:szCs w:val="20"/>
        </w:rPr>
        <w:t xml:space="preserve">eçimlerle ilgili Uyum </w:t>
      </w:r>
      <w:r w:rsidR="00717F43">
        <w:rPr>
          <w:rFonts w:ascii="Arial" w:hAnsi="Arial" w:cs="Arial"/>
          <w:sz w:val="20"/>
          <w:szCs w:val="20"/>
        </w:rPr>
        <w:t>Y</w:t>
      </w:r>
      <w:r w:rsidR="00E45834">
        <w:rPr>
          <w:rFonts w:ascii="Arial" w:hAnsi="Arial" w:cs="Arial"/>
          <w:sz w:val="20"/>
          <w:szCs w:val="20"/>
        </w:rPr>
        <w:t>asası çıkarıld</w:t>
      </w:r>
      <w:r w:rsidR="00717F43">
        <w:rPr>
          <w:rFonts w:ascii="Arial" w:hAnsi="Arial" w:cs="Arial"/>
          <w:sz w:val="20"/>
          <w:szCs w:val="20"/>
        </w:rPr>
        <w:t xml:space="preserve">ı ve </w:t>
      </w:r>
      <w:r w:rsidR="00E45834">
        <w:rPr>
          <w:rFonts w:ascii="Arial" w:hAnsi="Arial" w:cs="Arial"/>
          <w:sz w:val="20"/>
          <w:szCs w:val="20"/>
        </w:rPr>
        <w:t>Yüksek Seçim Kurulu</w:t>
      </w:r>
      <w:r w:rsidR="00717F43">
        <w:rPr>
          <w:rFonts w:ascii="Arial" w:hAnsi="Arial" w:cs="Arial"/>
          <w:sz w:val="20"/>
          <w:szCs w:val="20"/>
        </w:rPr>
        <w:t xml:space="preserve"> da</w:t>
      </w:r>
      <w:r w:rsidR="00E45834">
        <w:rPr>
          <w:rFonts w:ascii="Arial" w:hAnsi="Arial" w:cs="Arial"/>
          <w:sz w:val="20"/>
          <w:szCs w:val="20"/>
        </w:rPr>
        <w:t xml:space="preserve"> seçim takvimini açıkladı. </w:t>
      </w:r>
      <w:r w:rsidR="00142332">
        <w:rPr>
          <w:rFonts w:ascii="Arial" w:hAnsi="Arial" w:cs="Arial"/>
          <w:sz w:val="20"/>
          <w:szCs w:val="20"/>
        </w:rPr>
        <w:t xml:space="preserve">Ülkemizin pek çok sorunu sıkıntısı var. Bir yandan yurt dışında Suriye’de, Afrin’de </w:t>
      </w:r>
      <w:r>
        <w:rPr>
          <w:rFonts w:ascii="Arial" w:hAnsi="Arial" w:cs="Arial"/>
          <w:sz w:val="20"/>
          <w:szCs w:val="20"/>
        </w:rPr>
        <w:t xml:space="preserve">PYD/YPG’ye karşı </w:t>
      </w:r>
      <w:r w:rsidR="00142332">
        <w:rPr>
          <w:rFonts w:ascii="Arial" w:hAnsi="Arial" w:cs="Arial"/>
          <w:sz w:val="20"/>
          <w:szCs w:val="20"/>
        </w:rPr>
        <w:t xml:space="preserve">“Zeytin Dalı” operasyonu, </w:t>
      </w:r>
      <w:r w:rsidR="00F17B52">
        <w:rPr>
          <w:rFonts w:ascii="Arial" w:hAnsi="Arial" w:cs="Arial"/>
          <w:sz w:val="20"/>
          <w:szCs w:val="20"/>
        </w:rPr>
        <w:t>I</w:t>
      </w:r>
      <w:r w:rsidR="00142332">
        <w:rPr>
          <w:rFonts w:ascii="Arial" w:hAnsi="Arial" w:cs="Arial"/>
          <w:sz w:val="20"/>
          <w:szCs w:val="20"/>
        </w:rPr>
        <w:t>ra</w:t>
      </w:r>
      <w:r w:rsidR="00F17B52">
        <w:rPr>
          <w:rFonts w:ascii="Arial" w:hAnsi="Arial" w:cs="Arial"/>
          <w:sz w:val="20"/>
          <w:szCs w:val="20"/>
        </w:rPr>
        <w:t>k</w:t>
      </w:r>
      <w:r w:rsidR="00142332">
        <w:rPr>
          <w:rFonts w:ascii="Arial" w:hAnsi="Arial" w:cs="Arial"/>
          <w:sz w:val="20"/>
          <w:szCs w:val="20"/>
        </w:rPr>
        <w:t>’da DEAŞ</w:t>
      </w:r>
      <w:r w:rsidR="00F17B52">
        <w:rPr>
          <w:rFonts w:ascii="Arial" w:hAnsi="Arial" w:cs="Arial"/>
          <w:sz w:val="20"/>
          <w:szCs w:val="20"/>
        </w:rPr>
        <w:t xml:space="preserve"> ve</w:t>
      </w:r>
      <w:r w:rsidR="00142332">
        <w:rPr>
          <w:rFonts w:ascii="Arial" w:hAnsi="Arial" w:cs="Arial"/>
          <w:sz w:val="20"/>
          <w:szCs w:val="20"/>
        </w:rPr>
        <w:t xml:space="preserve"> PKK’ya karşı operasyonlar sürdürülürken diğer yandan yurt içinde Doğu ve Güneydoğu Anadolu Bölgesinde PKK Terör örgütü ve DEAŞ terör örgütüne karşı operasyonlar sürdürülüyor. PDY ile ilgili operasyonlar ise yurt sathında devam ediyor.</w:t>
      </w:r>
    </w:p>
    <w:p w:rsidR="0043198B" w:rsidRPr="00C36E99" w:rsidRDefault="00CD5FFB" w:rsidP="00274A36">
      <w:pPr>
        <w:spacing w:line="360" w:lineRule="auto"/>
        <w:ind w:firstLine="708"/>
        <w:jc w:val="both"/>
        <w:rPr>
          <w:rFonts w:ascii="Arial" w:hAnsi="Arial" w:cs="Arial"/>
          <w:b/>
          <w:sz w:val="20"/>
          <w:szCs w:val="20"/>
        </w:rPr>
      </w:pPr>
      <w:r>
        <w:rPr>
          <w:rFonts w:ascii="Arial" w:hAnsi="Arial" w:cs="Arial"/>
          <w:sz w:val="20"/>
          <w:szCs w:val="20"/>
        </w:rPr>
        <w:t xml:space="preserve">Ülke </w:t>
      </w:r>
      <w:r w:rsidR="00266E37">
        <w:rPr>
          <w:rFonts w:ascii="Arial" w:hAnsi="Arial" w:cs="Arial"/>
          <w:sz w:val="20"/>
          <w:szCs w:val="20"/>
        </w:rPr>
        <w:t>Ekonomi</w:t>
      </w:r>
      <w:r>
        <w:rPr>
          <w:rFonts w:ascii="Arial" w:hAnsi="Arial" w:cs="Arial"/>
          <w:sz w:val="20"/>
          <w:szCs w:val="20"/>
        </w:rPr>
        <w:t>si</w:t>
      </w:r>
      <w:r w:rsidR="00266E37">
        <w:rPr>
          <w:rFonts w:ascii="Arial" w:hAnsi="Arial" w:cs="Arial"/>
          <w:sz w:val="20"/>
          <w:szCs w:val="20"/>
        </w:rPr>
        <w:t xml:space="preserve"> tehlike sinyalleri veriyor. Borçlar (dış borç, iç borç ve toplam borç) artıyor. Döviz fiyatları yükseliyor. </w:t>
      </w:r>
      <w:r w:rsidR="00255B87">
        <w:rPr>
          <w:rFonts w:ascii="Arial" w:hAnsi="Arial" w:cs="Arial"/>
          <w:sz w:val="20"/>
          <w:szCs w:val="20"/>
        </w:rPr>
        <w:t xml:space="preserve">Geçtiğimiz günlerde </w:t>
      </w:r>
      <w:r w:rsidR="00266E37">
        <w:rPr>
          <w:rFonts w:ascii="Arial" w:hAnsi="Arial" w:cs="Arial"/>
          <w:sz w:val="20"/>
          <w:szCs w:val="20"/>
        </w:rPr>
        <w:t>Dolar 4</w:t>
      </w:r>
      <w:r w:rsidR="001E1476">
        <w:rPr>
          <w:rFonts w:ascii="Arial" w:hAnsi="Arial" w:cs="Arial"/>
          <w:sz w:val="20"/>
          <w:szCs w:val="20"/>
        </w:rPr>
        <w:t>.90</w:t>
      </w:r>
      <w:r w:rsidR="00266E37">
        <w:rPr>
          <w:rFonts w:ascii="Arial" w:hAnsi="Arial" w:cs="Arial"/>
          <w:sz w:val="20"/>
          <w:szCs w:val="20"/>
        </w:rPr>
        <w:t xml:space="preserve"> TL’yi</w:t>
      </w:r>
      <w:r w:rsidR="005D305A">
        <w:rPr>
          <w:rFonts w:ascii="Arial" w:hAnsi="Arial" w:cs="Arial"/>
          <w:sz w:val="20"/>
          <w:szCs w:val="20"/>
        </w:rPr>
        <w:t>,</w:t>
      </w:r>
      <w:r w:rsidR="00266E37">
        <w:rPr>
          <w:rFonts w:ascii="Arial" w:hAnsi="Arial" w:cs="Arial"/>
          <w:sz w:val="20"/>
          <w:szCs w:val="20"/>
        </w:rPr>
        <w:t xml:space="preserve"> Avro 5</w:t>
      </w:r>
      <w:r w:rsidR="001E1476">
        <w:rPr>
          <w:rFonts w:ascii="Arial" w:hAnsi="Arial" w:cs="Arial"/>
          <w:sz w:val="20"/>
          <w:szCs w:val="20"/>
        </w:rPr>
        <w:t>.50</w:t>
      </w:r>
      <w:r w:rsidR="00266E37">
        <w:rPr>
          <w:rFonts w:ascii="Arial" w:hAnsi="Arial" w:cs="Arial"/>
          <w:sz w:val="20"/>
          <w:szCs w:val="20"/>
        </w:rPr>
        <w:t xml:space="preserve"> TL’y</w:t>
      </w:r>
      <w:r w:rsidR="005D305A">
        <w:rPr>
          <w:rFonts w:ascii="Arial" w:hAnsi="Arial" w:cs="Arial"/>
          <w:sz w:val="20"/>
          <w:szCs w:val="20"/>
        </w:rPr>
        <w:t>i</w:t>
      </w:r>
      <w:r w:rsidR="00266E37">
        <w:rPr>
          <w:rFonts w:ascii="Arial" w:hAnsi="Arial" w:cs="Arial"/>
          <w:sz w:val="20"/>
          <w:szCs w:val="20"/>
        </w:rPr>
        <w:t xml:space="preserve"> </w:t>
      </w:r>
      <w:r w:rsidR="005D305A">
        <w:rPr>
          <w:rFonts w:ascii="Arial" w:hAnsi="Arial" w:cs="Arial"/>
          <w:sz w:val="20"/>
          <w:szCs w:val="20"/>
        </w:rPr>
        <w:t>geçti.</w:t>
      </w:r>
      <w:r w:rsidR="00266E37">
        <w:rPr>
          <w:rFonts w:ascii="Arial" w:hAnsi="Arial" w:cs="Arial"/>
          <w:sz w:val="20"/>
          <w:szCs w:val="20"/>
        </w:rPr>
        <w:t xml:space="preserve"> </w:t>
      </w:r>
      <w:r w:rsidR="001E1476">
        <w:rPr>
          <w:rFonts w:ascii="Arial" w:hAnsi="Arial" w:cs="Arial"/>
          <w:sz w:val="20"/>
          <w:szCs w:val="20"/>
        </w:rPr>
        <w:t xml:space="preserve">Merkez Bankası Para Politikası Kurulu’nun 23 Mayıs 2018’de yaptığı olağanüstü toplantı yapılmamış </w:t>
      </w:r>
      <w:r w:rsidR="003268BB">
        <w:rPr>
          <w:rFonts w:ascii="Arial" w:hAnsi="Arial" w:cs="Arial"/>
          <w:sz w:val="20"/>
          <w:szCs w:val="20"/>
        </w:rPr>
        <w:t xml:space="preserve">ve geç likidite </w:t>
      </w:r>
      <w:r w:rsidR="00255B87">
        <w:rPr>
          <w:rFonts w:ascii="Arial" w:hAnsi="Arial" w:cs="Arial"/>
          <w:sz w:val="20"/>
          <w:szCs w:val="20"/>
        </w:rPr>
        <w:t xml:space="preserve">penceresi </w:t>
      </w:r>
      <w:r w:rsidR="003268BB">
        <w:rPr>
          <w:rFonts w:ascii="Arial" w:hAnsi="Arial" w:cs="Arial"/>
          <w:sz w:val="20"/>
          <w:szCs w:val="20"/>
        </w:rPr>
        <w:t xml:space="preserve">faiz oranı 300 baz puan artırılarak faiz oranı % 13.50’den % 16.50’ye yükseltilmemiş </w:t>
      </w:r>
      <w:r w:rsidR="001E1476">
        <w:rPr>
          <w:rFonts w:ascii="Arial" w:hAnsi="Arial" w:cs="Arial"/>
          <w:sz w:val="20"/>
          <w:szCs w:val="20"/>
        </w:rPr>
        <w:t>olsa idi 4.90 TL’ye yükselen doların 5.0 TL’yi, 5.50 TL’yi g</w:t>
      </w:r>
      <w:r w:rsidR="00330E4A">
        <w:rPr>
          <w:rFonts w:ascii="Arial" w:hAnsi="Arial" w:cs="Arial"/>
          <w:sz w:val="20"/>
          <w:szCs w:val="20"/>
        </w:rPr>
        <w:t xml:space="preserve">ören </w:t>
      </w:r>
      <w:r w:rsidR="001E1476">
        <w:rPr>
          <w:rFonts w:ascii="Arial" w:hAnsi="Arial" w:cs="Arial"/>
          <w:sz w:val="20"/>
          <w:szCs w:val="20"/>
        </w:rPr>
        <w:t xml:space="preserve">Avro’nun da 6 TL’yi geçmesi beklenmekteydi. Dövizdeki artışın ülke ekonomisindeki dengeleri çok fazla etkilediği bir realitedir. </w:t>
      </w:r>
      <w:r w:rsidR="001D4A6F">
        <w:rPr>
          <w:rFonts w:ascii="Arial" w:hAnsi="Arial" w:cs="Arial"/>
          <w:sz w:val="20"/>
          <w:szCs w:val="20"/>
        </w:rPr>
        <w:t xml:space="preserve">Burada önemli olan soru şu? Döviz niçin yükseliyor? Türkiye ekonomisi iyi olmadığı için </w:t>
      </w:r>
      <w:r w:rsidR="00330E4A">
        <w:rPr>
          <w:rFonts w:ascii="Arial" w:hAnsi="Arial" w:cs="Arial"/>
          <w:sz w:val="20"/>
          <w:szCs w:val="20"/>
        </w:rPr>
        <w:t xml:space="preserve">döviz </w:t>
      </w:r>
      <w:r w:rsidR="001D4A6F">
        <w:rPr>
          <w:rFonts w:ascii="Arial" w:hAnsi="Arial" w:cs="Arial"/>
          <w:sz w:val="20"/>
          <w:szCs w:val="20"/>
        </w:rPr>
        <w:t>yükseliyor. Ekonomisi sağlam olan, sağlıklı olan ülkelerin parası de</w:t>
      </w:r>
      <w:r w:rsidR="00CB01EB">
        <w:rPr>
          <w:rFonts w:ascii="Arial" w:hAnsi="Arial" w:cs="Arial"/>
          <w:sz w:val="20"/>
          <w:szCs w:val="20"/>
        </w:rPr>
        <w:t xml:space="preserve">ğerlenir. Ekonomisi iyi olmayan, bozuk olan ülkelerin parası </w:t>
      </w:r>
      <w:r w:rsidR="00C34A8D">
        <w:rPr>
          <w:rFonts w:ascii="Arial" w:hAnsi="Arial" w:cs="Arial"/>
          <w:sz w:val="20"/>
          <w:szCs w:val="20"/>
        </w:rPr>
        <w:t xml:space="preserve">ise </w:t>
      </w:r>
      <w:r w:rsidR="00CB01EB">
        <w:rPr>
          <w:rFonts w:ascii="Arial" w:hAnsi="Arial" w:cs="Arial"/>
          <w:sz w:val="20"/>
          <w:szCs w:val="20"/>
        </w:rPr>
        <w:t xml:space="preserve">değer kaybeder. Yani </w:t>
      </w:r>
      <w:r w:rsidR="00CB01EB" w:rsidRPr="00C36E99">
        <w:rPr>
          <w:rFonts w:ascii="Arial" w:hAnsi="Arial" w:cs="Arial"/>
          <w:b/>
          <w:sz w:val="20"/>
          <w:szCs w:val="20"/>
        </w:rPr>
        <w:t xml:space="preserve">birçoklarının dediği gibi döviz fiyatları yükseldiği için ekonomik dengeler </w:t>
      </w:r>
      <w:r w:rsidR="00330E4A" w:rsidRPr="00C36E99">
        <w:rPr>
          <w:rFonts w:ascii="Arial" w:hAnsi="Arial" w:cs="Arial"/>
          <w:b/>
          <w:sz w:val="20"/>
          <w:szCs w:val="20"/>
        </w:rPr>
        <w:t xml:space="preserve">bozulmamıştır, </w:t>
      </w:r>
      <w:r w:rsidR="00CB01EB" w:rsidRPr="00C36E99">
        <w:rPr>
          <w:rFonts w:ascii="Arial" w:hAnsi="Arial" w:cs="Arial"/>
          <w:b/>
          <w:sz w:val="20"/>
          <w:szCs w:val="20"/>
        </w:rPr>
        <w:t>alt üst olmamıştır. Türk ekonomisi zayıf olduğu için, döviz fiyatları aşırı yükselişe geçmiştir. Dövizdeki aşırı yükselme</w:t>
      </w:r>
      <w:r w:rsidR="00C34A8D">
        <w:rPr>
          <w:rFonts w:ascii="Arial" w:hAnsi="Arial" w:cs="Arial"/>
          <w:b/>
          <w:sz w:val="20"/>
          <w:szCs w:val="20"/>
        </w:rPr>
        <w:t xml:space="preserve"> </w:t>
      </w:r>
      <w:r w:rsidR="00CB01EB" w:rsidRPr="00C36E99">
        <w:rPr>
          <w:rFonts w:ascii="Arial" w:hAnsi="Arial" w:cs="Arial"/>
          <w:b/>
          <w:sz w:val="20"/>
          <w:szCs w:val="20"/>
        </w:rPr>
        <w:t xml:space="preserve">de bozuk olan ekonomik dengelerin daha da bozulmasına sebep olmuştur. </w:t>
      </w:r>
    </w:p>
    <w:p w:rsidR="0043198B" w:rsidRDefault="008572A4" w:rsidP="00274A36">
      <w:pPr>
        <w:spacing w:line="360" w:lineRule="auto"/>
        <w:ind w:firstLine="708"/>
        <w:jc w:val="both"/>
        <w:rPr>
          <w:rFonts w:ascii="Arial" w:hAnsi="Arial" w:cs="Arial"/>
          <w:sz w:val="20"/>
          <w:szCs w:val="20"/>
        </w:rPr>
      </w:pPr>
      <w:r>
        <w:rPr>
          <w:rFonts w:ascii="Arial" w:hAnsi="Arial" w:cs="Arial"/>
          <w:sz w:val="20"/>
          <w:szCs w:val="20"/>
        </w:rPr>
        <w:t xml:space="preserve">Türkiye’nin dış </w:t>
      </w:r>
      <w:r w:rsidR="006571C1">
        <w:rPr>
          <w:rFonts w:ascii="Arial" w:hAnsi="Arial" w:cs="Arial"/>
          <w:sz w:val="20"/>
          <w:szCs w:val="20"/>
        </w:rPr>
        <w:t>borcu 453.</w:t>
      </w:r>
      <w:r w:rsidR="0043198B">
        <w:rPr>
          <w:rFonts w:ascii="Arial" w:hAnsi="Arial" w:cs="Arial"/>
          <w:sz w:val="20"/>
          <w:szCs w:val="20"/>
        </w:rPr>
        <w:t>2</w:t>
      </w:r>
      <w:r w:rsidR="006571C1">
        <w:rPr>
          <w:rFonts w:ascii="Arial" w:hAnsi="Arial" w:cs="Arial"/>
          <w:sz w:val="20"/>
          <w:szCs w:val="20"/>
        </w:rPr>
        <w:t xml:space="preserve"> milyar dolar gibi çok yüksek bir d</w:t>
      </w:r>
      <w:r w:rsidR="00330E4A">
        <w:rPr>
          <w:rFonts w:ascii="Arial" w:hAnsi="Arial" w:cs="Arial"/>
          <w:sz w:val="20"/>
          <w:szCs w:val="20"/>
        </w:rPr>
        <w:t xml:space="preserve">üzeydedir. Bu dış borcun anlamı; </w:t>
      </w:r>
      <w:r w:rsidR="006571C1">
        <w:rPr>
          <w:rFonts w:ascii="Arial" w:hAnsi="Arial" w:cs="Arial"/>
          <w:sz w:val="20"/>
          <w:szCs w:val="20"/>
        </w:rPr>
        <w:t>Dolardaki 1 kuruşluk artışın Türk ekonomisine getirdiği yük</w:t>
      </w:r>
      <w:r w:rsidR="0043198B">
        <w:rPr>
          <w:rFonts w:ascii="Arial" w:hAnsi="Arial" w:cs="Arial"/>
          <w:sz w:val="20"/>
          <w:szCs w:val="20"/>
        </w:rPr>
        <w:t>ün</w:t>
      </w:r>
      <w:r w:rsidR="006571C1">
        <w:rPr>
          <w:rFonts w:ascii="Arial" w:hAnsi="Arial" w:cs="Arial"/>
          <w:sz w:val="20"/>
          <w:szCs w:val="20"/>
        </w:rPr>
        <w:t xml:space="preserve"> 4.5</w:t>
      </w:r>
      <w:r w:rsidR="0043198B">
        <w:rPr>
          <w:rFonts w:ascii="Arial" w:hAnsi="Arial" w:cs="Arial"/>
          <w:sz w:val="20"/>
          <w:szCs w:val="20"/>
        </w:rPr>
        <w:t>3</w:t>
      </w:r>
      <w:r w:rsidR="006571C1">
        <w:rPr>
          <w:rFonts w:ascii="Arial" w:hAnsi="Arial" w:cs="Arial"/>
          <w:sz w:val="20"/>
          <w:szCs w:val="20"/>
        </w:rPr>
        <w:t xml:space="preserve"> milyar TL</w:t>
      </w:r>
      <w:r w:rsidR="0043198B">
        <w:rPr>
          <w:rFonts w:ascii="Arial" w:hAnsi="Arial" w:cs="Arial"/>
          <w:sz w:val="20"/>
          <w:szCs w:val="20"/>
        </w:rPr>
        <w:t xml:space="preserve"> olmasıdır. </w:t>
      </w:r>
    </w:p>
    <w:p w:rsidR="0043198B" w:rsidRDefault="006571C1" w:rsidP="00274A36">
      <w:pPr>
        <w:spacing w:line="360" w:lineRule="auto"/>
        <w:ind w:firstLine="708"/>
        <w:jc w:val="both"/>
        <w:rPr>
          <w:rFonts w:ascii="Arial" w:hAnsi="Arial" w:cs="Arial"/>
          <w:sz w:val="20"/>
          <w:szCs w:val="20"/>
        </w:rPr>
      </w:pPr>
      <w:r>
        <w:rPr>
          <w:rFonts w:ascii="Arial" w:hAnsi="Arial" w:cs="Arial"/>
          <w:sz w:val="20"/>
          <w:szCs w:val="20"/>
        </w:rPr>
        <w:t xml:space="preserve">AK Parti iktidarı tarafından ekonomide sürekli pembe tablolar çiziliyor ama işin aslı öyle </w:t>
      </w:r>
      <w:r w:rsidR="00BC0BB2">
        <w:rPr>
          <w:rFonts w:ascii="Arial" w:hAnsi="Arial" w:cs="Arial"/>
          <w:sz w:val="20"/>
          <w:szCs w:val="20"/>
        </w:rPr>
        <w:t xml:space="preserve">değil. Maalesef Türk ekonomisi söylendiği gibi iyi değil. Eğer iyi olsa idi döviz fiyatları kısa sürede böyle anormal şekilde artmazdı. </w:t>
      </w:r>
      <w:r w:rsidR="00830C90">
        <w:rPr>
          <w:rFonts w:ascii="Arial" w:hAnsi="Arial" w:cs="Arial"/>
          <w:sz w:val="20"/>
          <w:szCs w:val="20"/>
        </w:rPr>
        <w:t xml:space="preserve">Sadece faizlerin 300 baz puan artırılması ile dövizdeki yükselişi durdurmak mümkün olmayacağı için </w:t>
      </w:r>
      <w:r w:rsidR="00BC0BB2">
        <w:rPr>
          <w:rFonts w:ascii="Arial" w:hAnsi="Arial" w:cs="Arial"/>
          <w:sz w:val="20"/>
          <w:szCs w:val="20"/>
        </w:rPr>
        <w:t>Merkez Bankası’nın yeni ek tedbirler alması gerek</w:t>
      </w:r>
      <w:r w:rsidR="00830C90">
        <w:rPr>
          <w:rFonts w:ascii="Arial" w:hAnsi="Arial" w:cs="Arial"/>
          <w:sz w:val="20"/>
          <w:szCs w:val="20"/>
        </w:rPr>
        <w:t xml:space="preserve">mekteydi. 27 Mayıs </w:t>
      </w:r>
      <w:r w:rsidR="00C34A8D">
        <w:rPr>
          <w:rFonts w:ascii="Arial" w:hAnsi="Arial" w:cs="Arial"/>
          <w:sz w:val="20"/>
          <w:szCs w:val="20"/>
        </w:rPr>
        <w:t xml:space="preserve">2018 </w:t>
      </w:r>
      <w:r w:rsidR="00830C90">
        <w:rPr>
          <w:rFonts w:ascii="Arial" w:hAnsi="Arial" w:cs="Arial"/>
          <w:sz w:val="20"/>
          <w:szCs w:val="20"/>
        </w:rPr>
        <w:t>Pazar akşamı Türkiye Finans sektörünün önde gelen kuruluş</w:t>
      </w:r>
      <w:r w:rsidR="00C34A8D">
        <w:rPr>
          <w:rFonts w:ascii="Arial" w:hAnsi="Arial" w:cs="Arial"/>
          <w:sz w:val="20"/>
          <w:szCs w:val="20"/>
        </w:rPr>
        <w:t>larının temsilcileri</w:t>
      </w:r>
      <w:r w:rsidR="00830C90">
        <w:rPr>
          <w:rFonts w:ascii="Arial" w:hAnsi="Arial" w:cs="Arial"/>
          <w:sz w:val="20"/>
          <w:szCs w:val="20"/>
        </w:rPr>
        <w:t xml:space="preserve"> ile bir araya gelen Başbakan Yardımcısı Sayın Mehmet Şimşek ve Merkez Bankası Başkanı Sayın Murat Çetinkaya bir gün sonra Londra’da dünya finans sektörünün önde gelen gruplarıyla bir araya gelerek ve Merkez Bankasının netleşen “sadeleşme adımı” </w:t>
      </w:r>
      <w:r w:rsidR="0043198B">
        <w:rPr>
          <w:rFonts w:ascii="Arial" w:hAnsi="Arial" w:cs="Arial"/>
          <w:sz w:val="20"/>
          <w:szCs w:val="20"/>
        </w:rPr>
        <w:t xml:space="preserve">(bunun açık anlatımı faizlerin yükseltilmesidir) </w:t>
      </w:r>
      <w:r w:rsidR="00830C90">
        <w:rPr>
          <w:rFonts w:ascii="Arial" w:hAnsi="Arial" w:cs="Arial"/>
          <w:sz w:val="20"/>
          <w:szCs w:val="20"/>
        </w:rPr>
        <w:t>hakkında bilgilendirme yapılarak doların 4.50 TL’ye düşmesi sağlandı.</w:t>
      </w:r>
      <w:r w:rsidR="00BC0BB2">
        <w:rPr>
          <w:rFonts w:ascii="Arial" w:hAnsi="Arial" w:cs="Arial"/>
          <w:sz w:val="20"/>
          <w:szCs w:val="20"/>
        </w:rPr>
        <w:t xml:space="preserve"> </w:t>
      </w:r>
      <w:r w:rsidR="00C36E99">
        <w:rPr>
          <w:rFonts w:ascii="Arial" w:hAnsi="Arial" w:cs="Arial"/>
          <w:sz w:val="20"/>
          <w:szCs w:val="20"/>
        </w:rPr>
        <w:t>Bütün bu tedbirlere rağmen dolar hala yükselişte.</w:t>
      </w:r>
    </w:p>
    <w:p w:rsidR="00266E37" w:rsidRDefault="0043198B" w:rsidP="00274A36">
      <w:pPr>
        <w:spacing w:line="360" w:lineRule="auto"/>
        <w:ind w:firstLine="708"/>
        <w:jc w:val="both"/>
        <w:rPr>
          <w:rFonts w:ascii="Arial" w:hAnsi="Arial" w:cs="Arial"/>
          <w:sz w:val="20"/>
          <w:szCs w:val="20"/>
        </w:rPr>
      </w:pPr>
      <w:r>
        <w:rPr>
          <w:rFonts w:ascii="Arial" w:hAnsi="Arial" w:cs="Arial"/>
          <w:sz w:val="20"/>
          <w:szCs w:val="20"/>
        </w:rPr>
        <w:t xml:space="preserve">Şurası da bilinmelidir ki, </w:t>
      </w:r>
      <w:r w:rsidR="00BC0BB2">
        <w:rPr>
          <w:rFonts w:ascii="Arial" w:hAnsi="Arial" w:cs="Arial"/>
          <w:sz w:val="20"/>
          <w:szCs w:val="20"/>
        </w:rPr>
        <w:t>hükümetin ekonomi politikaları</w:t>
      </w:r>
      <w:r w:rsidR="00D15B31">
        <w:rPr>
          <w:rFonts w:ascii="Arial" w:hAnsi="Arial" w:cs="Arial"/>
          <w:sz w:val="20"/>
          <w:szCs w:val="20"/>
        </w:rPr>
        <w:t xml:space="preserve"> hatalıdır. </w:t>
      </w:r>
      <w:r w:rsidR="00266E37">
        <w:rPr>
          <w:rFonts w:ascii="Arial" w:hAnsi="Arial" w:cs="Arial"/>
          <w:sz w:val="20"/>
          <w:szCs w:val="20"/>
        </w:rPr>
        <w:t xml:space="preserve">Akaryakıt </w:t>
      </w:r>
      <w:r w:rsidR="00CD5FFB">
        <w:rPr>
          <w:rFonts w:ascii="Arial" w:hAnsi="Arial" w:cs="Arial"/>
          <w:sz w:val="20"/>
          <w:szCs w:val="20"/>
        </w:rPr>
        <w:t xml:space="preserve">(benzin </w:t>
      </w:r>
      <w:r w:rsidR="00266E37">
        <w:rPr>
          <w:rFonts w:ascii="Arial" w:hAnsi="Arial" w:cs="Arial"/>
          <w:sz w:val="20"/>
          <w:szCs w:val="20"/>
        </w:rPr>
        <w:t>ve motorin</w:t>
      </w:r>
      <w:r w:rsidR="00CD5FFB">
        <w:rPr>
          <w:rFonts w:ascii="Arial" w:hAnsi="Arial" w:cs="Arial"/>
          <w:sz w:val="20"/>
          <w:szCs w:val="20"/>
        </w:rPr>
        <w:t>) fiyatları</w:t>
      </w:r>
      <w:r w:rsidR="00266E37">
        <w:rPr>
          <w:rFonts w:ascii="Arial" w:hAnsi="Arial" w:cs="Arial"/>
          <w:sz w:val="20"/>
          <w:szCs w:val="20"/>
        </w:rPr>
        <w:t xml:space="preserve"> sürekli yükseliyor.</w:t>
      </w:r>
      <w:r w:rsidR="00CD5FFB">
        <w:rPr>
          <w:rFonts w:ascii="Arial" w:hAnsi="Arial" w:cs="Arial"/>
          <w:sz w:val="20"/>
          <w:szCs w:val="20"/>
        </w:rPr>
        <w:t xml:space="preserve"> </w:t>
      </w:r>
      <w:r w:rsidR="001E1476">
        <w:rPr>
          <w:rFonts w:ascii="Arial" w:hAnsi="Arial" w:cs="Arial"/>
          <w:sz w:val="20"/>
          <w:szCs w:val="20"/>
        </w:rPr>
        <w:t>Ancak seçimler dolayısı ile akaryakıt fiyatlarındaki artış ÖTV düşü</w:t>
      </w:r>
      <w:r>
        <w:rPr>
          <w:rFonts w:ascii="Arial" w:hAnsi="Arial" w:cs="Arial"/>
          <w:sz w:val="20"/>
          <w:szCs w:val="20"/>
        </w:rPr>
        <w:t>r</w:t>
      </w:r>
      <w:r w:rsidR="001E1476">
        <w:rPr>
          <w:rFonts w:ascii="Arial" w:hAnsi="Arial" w:cs="Arial"/>
          <w:sz w:val="20"/>
          <w:szCs w:val="20"/>
        </w:rPr>
        <w:t xml:space="preserve">ülerek vatandaşa yansıtılmıyor. </w:t>
      </w:r>
      <w:r w:rsidR="00FC2CFF">
        <w:rPr>
          <w:rFonts w:ascii="Arial" w:hAnsi="Arial" w:cs="Arial"/>
          <w:sz w:val="20"/>
          <w:szCs w:val="20"/>
        </w:rPr>
        <w:t xml:space="preserve">Dış ticaret açığı ve cari açık her geçen ay artıyor. Faiz oranı yükseliyor. Bütçeden yapılan faiz ödemeleri artıyor. </w:t>
      </w:r>
      <w:r w:rsidR="00717F43">
        <w:rPr>
          <w:rFonts w:ascii="Arial" w:hAnsi="Arial" w:cs="Arial"/>
          <w:sz w:val="20"/>
          <w:szCs w:val="20"/>
        </w:rPr>
        <w:t>Enflasyon</w:t>
      </w:r>
      <w:r w:rsidR="00FC2CFF">
        <w:rPr>
          <w:rFonts w:ascii="Arial" w:hAnsi="Arial" w:cs="Arial"/>
          <w:sz w:val="20"/>
          <w:szCs w:val="20"/>
        </w:rPr>
        <w:t xml:space="preserve"> (TÜFE) kontrol edilemiyor</w:t>
      </w:r>
      <w:r w:rsidR="00CD5FFB">
        <w:rPr>
          <w:rFonts w:ascii="Arial" w:hAnsi="Arial" w:cs="Arial"/>
          <w:sz w:val="20"/>
          <w:szCs w:val="20"/>
        </w:rPr>
        <w:t>,</w:t>
      </w:r>
      <w:r w:rsidR="00FC2CFF">
        <w:rPr>
          <w:rFonts w:ascii="Arial" w:hAnsi="Arial" w:cs="Arial"/>
          <w:sz w:val="20"/>
          <w:szCs w:val="20"/>
        </w:rPr>
        <w:t xml:space="preserve"> </w:t>
      </w:r>
      <w:r w:rsidR="00717F43">
        <w:rPr>
          <w:rFonts w:ascii="Arial" w:hAnsi="Arial" w:cs="Arial"/>
          <w:sz w:val="20"/>
          <w:szCs w:val="20"/>
        </w:rPr>
        <w:t xml:space="preserve">Hükümetin de Merkez Bankasının da enflasyon hedefleri tutmuyor, </w:t>
      </w:r>
      <w:r w:rsidR="00C34A8D">
        <w:rPr>
          <w:rFonts w:ascii="Arial" w:hAnsi="Arial" w:cs="Arial"/>
          <w:sz w:val="20"/>
          <w:szCs w:val="20"/>
        </w:rPr>
        <w:t>e</w:t>
      </w:r>
      <w:r w:rsidR="00717F43">
        <w:rPr>
          <w:rFonts w:ascii="Arial" w:hAnsi="Arial" w:cs="Arial"/>
          <w:sz w:val="20"/>
          <w:szCs w:val="20"/>
        </w:rPr>
        <w:t xml:space="preserve">nflasyon </w:t>
      </w:r>
      <w:r w:rsidR="00CD5FFB">
        <w:rPr>
          <w:rFonts w:ascii="Arial" w:hAnsi="Arial" w:cs="Arial"/>
          <w:sz w:val="20"/>
          <w:szCs w:val="20"/>
        </w:rPr>
        <w:t>ç</w:t>
      </w:r>
      <w:r w:rsidR="00FC2CFF">
        <w:rPr>
          <w:rFonts w:ascii="Arial" w:hAnsi="Arial" w:cs="Arial"/>
          <w:sz w:val="20"/>
          <w:szCs w:val="20"/>
        </w:rPr>
        <w:t xml:space="preserve">ift haneli rakamlarda seyrediyor. İşsizlik sorunu bir türlü çözülemiyor ve işsizlik oranı çift haneli rakamlarda seyrediyor. Kredi derecelendirme kuruluşu Moodys, </w:t>
      </w:r>
      <w:r w:rsidR="00500FF9">
        <w:rPr>
          <w:rFonts w:ascii="Arial" w:hAnsi="Arial" w:cs="Arial"/>
          <w:sz w:val="20"/>
          <w:szCs w:val="20"/>
        </w:rPr>
        <w:t>ü</w:t>
      </w:r>
      <w:r w:rsidR="00FC2CFF">
        <w:rPr>
          <w:rFonts w:ascii="Arial" w:hAnsi="Arial" w:cs="Arial"/>
          <w:sz w:val="20"/>
          <w:szCs w:val="20"/>
        </w:rPr>
        <w:t xml:space="preserve">lkemizin kredi notunu </w:t>
      </w:r>
      <w:r w:rsidR="00CD5FFB">
        <w:rPr>
          <w:rFonts w:ascii="Arial" w:hAnsi="Arial" w:cs="Arial"/>
          <w:sz w:val="20"/>
          <w:szCs w:val="20"/>
        </w:rPr>
        <w:t xml:space="preserve">bir derece </w:t>
      </w:r>
      <w:r w:rsidR="00FC2CFF">
        <w:rPr>
          <w:rFonts w:ascii="Arial" w:hAnsi="Arial" w:cs="Arial"/>
          <w:sz w:val="20"/>
          <w:szCs w:val="20"/>
        </w:rPr>
        <w:t>düşür</w:t>
      </w:r>
      <w:r w:rsidR="00500FF9">
        <w:rPr>
          <w:rFonts w:ascii="Arial" w:hAnsi="Arial" w:cs="Arial"/>
          <w:sz w:val="20"/>
          <w:szCs w:val="20"/>
        </w:rPr>
        <w:t>müştü,</w:t>
      </w:r>
      <w:r w:rsidR="00CD5FFB">
        <w:rPr>
          <w:rFonts w:ascii="Arial" w:hAnsi="Arial" w:cs="Arial"/>
          <w:sz w:val="20"/>
          <w:szCs w:val="20"/>
        </w:rPr>
        <w:t xml:space="preserve"> </w:t>
      </w:r>
      <w:r w:rsidR="00717F43">
        <w:rPr>
          <w:rFonts w:ascii="Arial" w:hAnsi="Arial" w:cs="Arial"/>
          <w:sz w:val="20"/>
          <w:szCs w:val="20"/>
        </w:rPr>
        <w:t xml:space="preserve">Standart &amp; Poors </w:t>
      </w:r>
      <w:r w:rsidR="000579BE">
        <w:rPr>
          <w:rFonts w:ascii="Arial" w:hAnsi="Arial" w:cs="Arial"/>
          <w:sz w:val="20"/>
          <w:szCs w:val="20"/>
        </w:rPr>
        <w:t xml:space="preserve">da </w:t>
      </w:r>
      <w:r w:rsidR="001033A1">
        <w:rPr>
          <w:rFonts w:ascii="Arial" w:hAnsi="Arial" w:cs="Arial"/>
          <w:sz w:val="20"/>
          <w:szCs w:val="20"/>
        </w:rPr>
        <w:t xml:space="preserve">geçtiğimiz </w:t>
      </w:r>
      <w:r w:rsidR="00BC0BB2">
        <w:rPr>
          <w:rFonts w:ascii="Arial" w:hAnsi="Arial" w:cs="Arial"/>
          <w:sz w:val="20"/>
          <w:szCs w:val="20"/>
        </w:rPr>
        <w:t>ay</w:t>
      </w:r>
      <w:r w:rsidR="001033A1">
        <w:rPr>
          <w:rFonts w:ascii="Arial" w:hAnsi="Arial" w:cs="Arial"/>
          <w:sz w:val="20"/>
          <w:szCs w:val="20"/>
        </w:rPr>
        <w:t xml:space="preserve"> </w:t>
      </w:r>
      <w:r w:rsidR="00717F43">
        <w:rPr>
          <w:rFonts w:ascii="Arial" w:hAnsi="Arial" w:cs="Arial"/>
          <w:sz w:val="20"/>
          <w:szCs w:val="20"/>
        </w:rPr>
        <w:t xml:space="preserve">ülkemizin notunu </w:t>
      </w:r>
      <w:r w:rsidR="00500FF9">
        <w:rPr>
          <w:rFonts w:ascii="Arial" w:hAnsi="Arial" w:cs="Arial"/>
          <w:sz w:val="20"/>
          <w:szCs w:val="20"/>
        </w:rPr>
        <w:t xml:space="preserve">bir derece </w:t>
      </w:r>
      <w:r w:rsidR="00717F43">
        <w:rPr>
          <w:rFonts w:ascii="Arial" w:hAnsi="Arial" w:cs="Arial"/>
          <w:sz w:val="20"/>
          <w:szCs w:val="20"/>
        </w:rPr>
        <w:t>düşür</w:t>
      </w:r>
      <w:r w:rsidR="001033A1">
        <w:rPr>
          <w:rFonts w:ascii="Arial" w:hAnsi="Arial" w:cs="Arial"/>
          <w:sz w:val="20"/>
          <w:szCs w:val="20"/>
        </w:rPr>
        <w:t>dü.</w:t>
      </w:r>
      <w:r w:rsidR="000579BE">
        <w:rPr>
          <w:rFonts w:ascii="Arial" w:hAnsi="Arial" w:cs="Arial"/>
          <w:sz w:val="20"/>
          <w:szCs w:val="20"/>
        </w:rPr>
        <w:t xml:space="preserve"> </w:t>
      </w:r>
      <w:r>
        <w:rPr>
          <w:rFonts w:ascii="Arial" w:hAnsi="Arial" w:cs="Arial"/>
          <w:sz w:val="20"/>
          <w:szCs w:val="20"/>
        </w:rPr>
        <w:t xml:space="preserve">Son olarak Moodys yayınladığı raporda Türkiye’nin bu yıl için % 4 olan büyüme tahminini </w:t>
      </w:r>
      <w:r>
        <w:rPr>
          <w:rFonts w:ascii="Arial" w:hAnsi="Arial" w:cs="Arial"/>
          <w:sz w:val="20"/>
          <w:szCs w:val="20"/>
        </w:rPr>
        <w:lastRenderedPageBreak/>
        <w:t>% 2.5’a</w:t>
      </w:r>
      <w:r w:rsidR="00C34A8D">
        <w:rPr>
          <w:rFonts w:ascii="Arial" w:hAnsi="Arial" w:cs="Arial"/>
          <w:sz w:val="20"/>
          <w:szCs w:val="20"/>
        </w:rPr>
        <w:t>,</w:t>
      </w:r>
      <w:r>
        <w:rPr>
          <w:rFonts w:ascii="Arial" w:hAnsi="Arial" w:cs="Arial"/>
          <w:sz w:val="20"/>
          <w:szCs w:val="20"/>
        </w:rPr>
        <w:t xml:space="preserve"> gelecek yıl ise % 3.5’dan % 2’ye düşürdüğünü açıkladı. Bu </w:t>
      </w:r>
      <w:r w:rsidR="00255B87">
        <w:rPr>
          <w:rFonts w:ascii="Arial" w:hAnsi="Arial" w:cs="Arial"/>
          <w:sz w:val="20"/>
          <w:szCs w:val="20"/>
        </w:rPr>
        <w:t xml:space="preserve">arada kredi derecelendirme kuruluşu </w:t>
      </w:r>
      <w:r>
        <w:rPr>
          <w:rFonts w:ascii="Arial" w:hAnsi="Arial" w:cs="Arial"/>
          <w:sz w:val="20"/>
          <w:szCs w:val="20"/>
        </w:rPr>
        <w:t xml:space="preserve"> Fitch </w:t>
      </w:r>
      <w:r w:rsidR="00255B87">
        <w:rPr>
          <w:rFonts w:ascii="Arial" w:hAnsi="Arial" w:cs="Arial"/>
          <w:sz w:val="20"/>
          <w:szCs w:val="20"/>
        </w:rPr>
        <w:t>geçtiğimiz hafta içinde 25 Türk bankasını negatif incelemeye aldığını açıkladı. B</w:t>
      </w:r>
      <w:r w:rsidR="00C34A8D">
        <w:rPr>
          <w:rFonts w:ascii="Arial" w:hAnsi="Arial" w:cs="Arial"/>
          <w:sz w:val="20"/>
          <w:szCs w:val="20"/>
        </w:rPr>
        <w:t xml:space="preserve">undan birkaç gün sonra da </w:t>
      </w:r>
      <w:r w:rsidR="00255B87">
        <w:rPr>
          <w:rFonts w:ascii="Arial" w:hAnsi="Arial" w:cs="Arial"/>
          <w:sz w:val="20"/>
          <w:szCs w:val="20"/>
        </w:rPr>
        <w:t>Moodys Türkiye’nin Ba2 olan kredi notunu izlemeye aldığını duyurdu.</w:t>
      </w:r>
      <w:r>
        <w:rPr>
          <w:rFonts w:ascii="Arial" w:hAnsi="Arial" w:cs="Arial"/>
          <w:sz w:val="20"/>
          <w:szCs w:val="20"/>
        </w:rPr>
        <w:t xml:space="preserve"> </w:t>
      </w:r>
      <w:r w:rsidR="00717F43">
        <w:rPr>
          <w:rFonts w:ascii="Arial" w:hAnsi="Arial" w:cs="Arial"/>
          <w:sz w:val="20"/>
          <w:szCs w:val="20"/>
        </w:rPr>
        <w:t>H</w:t>
      </w:r>
      <w:r w:rsidR="00FC2CFF">
        <w:rPr>
          <w:rFonts w:ascii="Arial" w:hAnsi="Arial" w:cs="Arial"/>
          <w:sz w:val="20"/>
          <w:szCs w:val="20"/>
        </w:rPr>
        <w:t xml:space="preserve">asılı </w:t>
      </w:r>
      <w:r w:rsidR="00C36E99">
        <w:rPr>
          <w:rFonts w:ascii="Arial" w:hAnsi="Arial" w:cs="Arial"/>
          <w:sz w:val="20"/>
          <w:szCs w:val="20"/>
        </w:rPr>
        <w:t xml:space="preserve">yabancıların değerlendirmesine göre </w:t>
      </w:r>
      <w:r w:rsidR="00FC2CFF">
        <w:rPr>
          <w:rFonts w:ascii="Arial" w:hAnsi="Arial" w:cs="Arial"/>
          <w:sz w:val="20"/>
          <w:szCs w:val="20"/>
        </w:rPr>
        <w:t xml:space="preserve">ülke ekonomisi iyi değil. </w:t>
      </w:r>
    </w:p>
    <w:p w:rsidR="00BC0BB2" w:rsidRDefault="006C4459" w:rsidP="00274A36">
      <w:pPr>
        <w:spacing w:line="360" w:lineRule="auto"/>
        <w:ind w:firstLine="708"/>
        <w:jc w:val="both"/>
        <w:rPr>
          <w:rFonts w:ascii="Arial" w:hAnsi="Arial" w:cs="Arial"/>
          <w:sz w:val="20"/>
          <w:szCs w:val="20"/>
        </w:rPr>
      </w:pPr>
      <w:r>
        <w:rPr>
          <w:rFonts w:ascii="Arial" w:hAnsi="Arial" w:cs="Arial"/>
          <w:sz w:val="20"/>
          <w:szCs w:val="20"/>
        </w:rPr>
        <w:t xml:space="preserve">Hükümet tarım sektöründeki ve </w:t>
      </w:r>
      <w:r w:rsidR="00ED1977">
        <w:rPr>
          <w:rFonts w:ascii="Arial" w:hAnsi="Arial" w:cs="Arial"/>
          <w:sz w:val="20"/>
          <w:szCs w:val="20"/>
        </w:rPr>
        <w:t>e</w:t>
      </w:r>
      <w:r>
        <w:rPr>
          <w:rFonts w:ascii="Arial" w:hAnsi="Arial" w:cs="Arial"/>
          <w:sz w:val="20"/>
          <w:szCs w:val="20"/>
        </w:rPr>
        <w:t>konomideki sıkıntıları fark etm</w:t>
      </w:r>
      <w:r w:rsidR="00F17B52">
        <w:rPr>
          <w:rFonts w:ascii="Arial" w:hAnsi="Arial" w:cs="Arial"/>
          <w:sz w:val="20"/>
          <w:szCs w:val="20"/>
        </w:rPr>
        <w:t>eye</w:t>
      </w:r>
      <w:r>
        <w:rPr>
          <w:rFonts w:ascii="Arial" w:hAnsi="Arial" w:cs="Arial"/>
          <w:sz w:val="20"/>
          <w:szCs w:val="20"/>
        </w:rPr>
        <w:t xml:space="preserve"> başlamış olacak ki</w:t>
      </w:r>
      <w:r w:rsidR="00F17B52">
        <w:rPr>
          <w:rFonts w:ascii="Arial" w:hAnsi="Arial" w:cs="Arial"/>
          <w:sz w:val="20"/>
          <w:szCs w:val="20"/>
        </w:rPr>
        <w:t>,</w:t>
      </w:r>
      <w:r>
        <w:rPr>
          <w:rFonts w:ascii="Arial" w:hAnsi="Arial" w:cs="Arial"/>
          <w:sz w:val="20"/>
          <w:szCs w:val="20"/>
        </w:rPr>
        <w:t xml:space="preserve"> bir yandan bitkisel üretim yap</w:t>
      </w:r>
      <w:r w:rsidR="00F17B52">
        <w:rPr>
          <w:rFonts w:ascii="Arial" w:hAnsi="Arial" w:cs="Arial"/>
          <w:sz w:val="20"/>
          <w:szCs w:val="20"/>
        </w:rPr>
        <w:t>an</w:t>
      </w:r>
      <w:r>
        <w:rPr>
          <w:rFonts w:ascii="Arial" w:hAnsi="Arial" w:cs="Arial"/>
          <w:sz w:val="20"/>
          <w:szCs w:val="20"/>
        </w:rPr>
        <w:t xml:space="preserve"> çiftçilere mazot desteğini % 50’y</w:t>
      </w:r>
      <w:r w:rsidR="00E908B9">
        <w:rPr>
          <w:rFonts w:ascii="Arial" w:hAnsi="Arial" w:cs="Arial"/>
          <w:sz w:val="20"/>
          <w:szCs w:val="20"/>
        </w:rPr>
        <w:t>e çıkardığını açıklıyor, diğer yandan hayvancılık yapan üreticilerin sorunlarını çözmek için çalışmalar yapı</w:t>
      </w:r>
      <w:r w:rsidR="0043198B">
        <w:rPr>
          <w:rFonts w:ascii="Arial" w:hAnsi="Arial" w:cs="Arial"/>
          <w:sz w:val="20"/>
          <w:szCs w:val="20"/>
        </w:rPr>
        <w:t xml:space="preserve">ldığını </w:t>
      </w:r>
      <w:r w:rsidR="00C34A8D">
        <w:rPr>
          <w:rFonts w:ascii="Arial" w:hAnsi="Arial" w:cs="Arial"/>
          <w:sz w:val="20"/>
          <w:szCs w:val="20"/>
        </w:rPr>
        <w:t>duyuruyor.</w:t>
      </w:r>
    </w:p>
    <w:p w:rsidR="00090FEC" w:rsidRDefault="00E65784" w:rsidP="00274A36">
      <w:pPr>
        <w:spacing w:line="360" w:lineRule="auto"/>
        <w:ind w:firstLine="708"/>
        <w:jc w:val="both"/>
        <w:rPr>
          <w:rFonts w:ascii="Arial" w:hAnsi="Arial" w:cs="Arial"/>
          <w:sz w:val="20"/>
          <w:szCs w:val="20"/>
        </w:rPr>
      </w:pPr>
      <w:r>
        <w:rPr>
          <w:rFonts w:ascii="Arial" w:hAnsi="Arial" w:cs="Arial"/>
          <w:sz w:val="20"/>
          <w:szCs w:val="20"/>
        </w:rPr>
        <w:t xml:space="preserve">Evet, </w:t>
      </w:r>
      <w:r w:rsidR="00E8051A">
        <w:rPr>
          <w:rFonts w:ascii="Arial" w:hAnsi="Arial" w:cs="Arial"/>
          <w:sz w:val="20"/>
          <w:szCs w:val="20"/>
        </w:rPr>
        <w:t>Halkımız</w:t>
      </w:r>
      <w:r>
        <w:rPr>
          <w:rFonts w:ascii="Arial" w:hAnsi="Arial" w:cs="Arial"/>
          <w:sz w:val="20"/>
          <w:szCs w:val="20"/>
        </w:rPr>
        <w:t xml:space="preserve"> ve ülkemiz</w:t>
      </w:r>
      <w:r w:rsidR="00E8051A">
        <w:rPr>
          <w:rFonts w:ascii="Arial" w:hAnsi="Arial" w:cs="Arial"/>
          <w:sz w:val="20"/>
          <w:szCs w:val="20"/>
        </w:rPr>
        <w:t xml:space="preserve"> bu sorunlar altında kıvranırken</w:t>
      </w:r>
      <w:r w:rsidR="00E908B9">
        <w:rPr>
          <w:rFonts w:ascii="Arial" w:hAnsi="Arial" w:cs="Arial"/>
          <w:sz w:val="20"/>
          <w:szCs w:val="20"/>
        </w:rPr>
        <w:t xml:space="preserve"> </w:t>
      </w:r>
      <w:r w:rsidR="00C76FAA">
        <w:rPr>
          <w:rFonts w:ascii="Arial" w:hAnsi="Arial" w:cs="Arial"/>
          <w:sz w:val="20"/>
          <w:szCs w:val="20"/>
        </w:rPr>
        <w:t>AK Parti ve MHP</w:t>
      </w:r>
      <w:r w:rsidR="00D52383">
        <w:rPr>
          <w:rFonts w:ascii="Arial" w:hAnsi="Arial" w:cs="Arial"/>
          <w:sz w:val="20"/>
          <w:szCs w:val="20"/>
        </w:rPr>
        <w:t xml:space="preserve"> seçim</w:t>
      </w:r>
      <w:r>
        <w:rPr>
          <w:rFonts w:ascii="Arial" w:hAnsi="Arial" w:cs="Arial"/>
          <w:sz w:val="20"/>
          <w:szCs w:val="20"/>
        </w:rPr>
        <w:t>i kazanma</w:t>
      </w:r>
      <w:r w:rsidR="00D52383">
        <w:rPr>
          <w:rFonts w:ascii="Arial" w:hAnsi="Arial" w:cs="Arial"/>
          <w:sz w:val="20"/>
          <w:szCs w:val="20"/>
        </w:rPr>
        <w:t xml:space="preserve"> </w:t>
      </w:r>
      <w:r w:rsidR="00C76FAA">
        <w:rPr>
          <w:rFonts w:ascii="Arial" w:hAnsi="Arial" w:cs="Arial"/>
          <w:sz w:val="20"/>
          <w:szCs w:val="20"/>
        </w:rPr>
        <w:t>derdin</w:t>
      </w:r>
      <w:r w:rsidR="005D305A">
        <w:rPr>
          <w:rFonts w:ascii="Arial" w:hAnsi="Arial" w:cs="Arial"/>
          <w:sz w:val="20"/>
          <w:szCs w:val="20"/>
        </w:rPr>
        <w:t xml:space="preserve">de. AK Parti seçimi </w:t>
      </w:r>
      <w:r w:rsidR="00730048">
        <w:rPr>
          <w:rFonts w:ascii="Arial" w:hAnsi="Arial" w:cs="Arial"/>
          <w:sz w:val="20"/>
          <w:szCs w:val="20"/>
        </w:rPr>
        <w:t xml:space="preserve">kazanmak için çalışmak yerine seçimi </w:t>
      </w:r>
      <w:r w:rsidR="001033A1">
        <w:rPr>
          <w:rFonts w:ascii="Arial" w:hAnsi="Arial" w:cs="Arial"/>
          <w:sz w:val="20"/>
          <w:szCs w:val="20"/>
        </w:rPr>
        <w:t xml:space="preserve">kaybetmemek için her şeyi yapmaktadır. AK Parti </w:t>
      </w:r>
      <w:r w:rsidR="00255B87">
        <w:rPr>
          <w:rFonts w:ascii="Arial" w:hAnsi="Arial" w:cs="Arial"/>
          <w:sz w:val="20"/>
          <w:szCs w:val="20"/>
        </w:rPr>
        <w:t>iktidarı</w:t>
      </w:r>
      <w:r w:rsidR="001033A1">
        <w:rPr>
          <w:rFonts w:ascii="Arial" w:hAnsi="Arial" w:cs="Arial"/>
          <w:sz w:val="20"/>
          <w:szCs w:val="20"/>
        </w:rPr>
        <w:t xml:space="preserve"> seçime 2 aydan az bir zaman </w:t>
      </w:r>
      <w:r w:rsidR="00BC0BB2">
        <w:rPr>
          <w:rFonts w:ascii="Arial" w:hAnsi="Arial" w:cs="Arial"/>
          <w:sz w:val="20"/>
          <w:szCs w:val="20"/>
        </w:rPr>
        <w:t>kala</w:t>
      </w:r>
      <w:r w:rsidR="001033A1">
        <w:rPr>
          <w:rFonts w:ascii="Arial" w:hAnsi="Arial" w:cs="Arial"/>
          <w:sz w:val="20"/>
          <w:szCs w:val="20"/>
        </w:rPr>
        <w:t xml:space="preserve"> imar affı, </w:t>
      </w:r>
      <w:r w:rsidR="00500FF9">
        <w:rPr>
          <w:rFonts w:ascii="Arial" w:hAnsi="Arial" w:cs="Arial"/>
          <w:sz w:val="20"/>
          <w:szCs w:val="20"/>
        </w:rPr>
        <w:t>t</w:t>
      </w:r>
      <w:r w:rsidR="001033A1">
        <w:rPr>
          <w:rFonts w:ascii="Arial" w:hAnsi="Arial" w:cs="Arial"/>
          <w:sz w:val="20"/>
          <w:szCs w:val="20"/>
        </w:rPr>
        <w:t>üccara stok affı, bazı vergi ve alacakların tahsilinden vazgeçilmesi, 65 yaş üzeri yaşlılara ödenen 266 TL’lik yaşlılık aylığının 500 TL’ye arttırılması</w:t>
      </w:r>
      <w:r w:rsidR="00730048">
        <w:rPr>
          <w:rFonts w:ascii="Arial" w:hAnsi="Arial" w:cs="Arial"/>
          <w:sz w:val="20"/>
          <w:szCs w:val="20"/>
        </w:rPr>
        <w:t>,</w:t>
      </w:r>
      <w:r w:rsidR="001033A1">
        <w:rPr>
          <w:rFonts w:ascii="Arial" w:hAnsi="Arial" w:cs="Arial"/>
          <w:sz w:val="20"/>
          <w:szCs w:val="20"/>
        </w:rPr>
        <w:t xml:space="preserve"> </w:t>
      </w:r>
      <w:r w:rsidR="00760EF2">
        <w:rPr>
          <w:rFonts w:ascii="Arial" w:hAnsi="Arial" w:cs="Arial"/>
          <w:sz w:val="20"/>
          <w:szCs w:val="20"/>
        </w:rPr>
        <w:t xml:space="preserve">emekliye dini bayramlarda 1000 TL </w:t>
      </w:r>
      <w:r w:rsidR="001033A1">
        <w:rPr>
          <w:rFonts w:ascii="Arial" w:hAnsi="Arial" w:cs="Arial"/>
          <w:sz w:val="20"/>
          <w:szCs w:val="20"/>
        </w:rPr>
        <w:t>bayram ikramiyesi</w:t>
      </w:r>
      <w:r w:rsidR="00993C48">
        <w:rPr>
          <w:rFonts w:ascii="Arial" w:hAnsi="Arial" w:cs="Arial"/>
          <w:sz w:val="20"/>
          <w:szCs w:val="20"/>
        </w:rPr>
        <w:t xml:space="preserve"> </w:t>
      </w:r>
      <w:r w:rsidR="00760EF2">
        <w:rPr>
          <w:rFonts w:ascii="Arial" w:hAnsi="Arial" w:cs="Arial"/>
          <w:sz w:val="20"/>
          <w:szCs w:val="20"/>
        </w:rPr>
        <w:t xml:space="preserve">verilmesi </w:t>
      </w:r>
      <w:r w:rsidR="00500FF9">
        <w:rPr>
          <w:rFonts w:ascii="Arial" w:hAnsi="Arial" w:cs="Arial"/>
          <w:sz w:val="20"/>
          <w:szCs w:val="20"/>
        </w:rPr>
        <w:t>gibi konularda</w:t>
      </w:r>
      <w:r w:rsidR="00760EF2">
        <w:rPr>
          <w:rFonts w:ascii="Arial" w:hAnsi="Arial" w:cs="Arial"/>
          <w:sz w:val="20"/>
          <w:szCs w:val="20"/>
        </w:rPr>
        <w:t xml:space="preserve"> </w:t>
      </w:r>
      <w:r w:rsidR="00BC0BB2">
        <w:rPr>
          <w:rFonts w:ascii="Arial" w:hAnsi="Arial" w:cs="Arial"/>
          <w:sz w:val="20"/>
          <w:szCs w:val="20"/>
        </w:rPr>
        <w:t xml:space="preserve">kanuni değişiklikler yaptı. </w:t>
      </w:r>
      <w:r w:rsidR="00760EF2">
        <w:rPr>
          <w:rFonts w:ascii="Arial" w:hAnsi="Arial" w:cs="Arial"/>
          <w:sz w:val="20"/>
          <w:szCs w:val="20"/>
        </w:rPr>
        <w:t>Bu çalışma</w:t>
      </w:r>
      <w:r w:rsidR="00993C48">
        <w:rPr>
          <w:rFonts w:ascii="Arial" w:hAnsi="Arial" w:cs="Arial"/>
          <w:sz w:val="20"/>
          <w:szCs w:val="20"/>
        </w:rPr>
        <w:t>lar</w:t>
      </w:r>
      <w:r w:rsidR="00760EF2">
        <w:rPr>
          <w:rFonts w:ascii="Arial" w:hAnsi="Arial" w:cs="Arial"/>
          <w:sz w:val="20"/>
          <w:szCs w:val="20"/>
        </w:rPr>
        <w:t xml:space="preserve"> </w:t>
      </w:r>
      <w:r w:rsidR="00993C48">
        <w:rPr>
          <w:rFonts w:ascii="Arial" w:hAnsi="Arial" w:cs="Arial"/>
          <w:sz w:val="20"/>
          <w:szCs w:val="20"/>
        </w:rPr>
        <w:t>vatandaşın</w:t>
      </w:r>
      <w:r w:rsidR="00760EF2">
        <w:rPr>
          <w:rFonts w:ascii="Arial" w:hAnsi="Arial" w:cs="Arial"/>
          <w:sz w:val="20"/>
          <w:szCs w:val="20"/>
        </w:rPr>
        <w:t xml:space="preserve"> bozuk olan ekonomik durumunu düzeltmek </w:t>
      </w:r>
      <w:r w:rsidR="00993C48">
        <w:rPr>
          <w:rFonts w:ascii="Arial" w:hAnsi="Arial" w:cs="Arial"/>
          <w:sz w:val="20"/>
          <w:szCs w:val="20"/>
        </w:rPr>
        <w:t>veya sorunları</w:t>
      </w:r>
      <w:r w:rsidR="00500FF9">
        <w:rPr>
          <w:rFonts w:ascii="Arial" w:hAnsi="Arial" w:cs="Arial"/>
          <w:sz w:val="20"/>
          <w:szCs w:val="20"/>
        </w:rPr>
        <w:t>nı</w:t>
      </w:r>
      <w:r w:rsidR="00993C48">
        <w:rPr>
          <w:rFonts w:ascii="Arial" w:hAnsi="Arial" w:cs="Arial"/>
          <w:sz w:val="20"/>
          <w:szCs w:val="20"/>
        </w:rPr>
        <w:t xml:space="preserve"> çözmek için </w:t>
      </w:r>
      <w:r w:rsidR="00760EF2">
        <w:rPr>
          <w:rFonts w:ascii="Arial" w:hAnsi="Arial" w:cs="Arial"/>
          <w:sz w:val="20"/>
          <w:szCs w:val="20"/>
        </w:rPr>
        <w:t>yapılmıyor</w:t>
      </w:r>
      <w:r>
        <w:rPr>
          <w:rFonts w:ascii="Arial" w:hAnsi="Arial" w:cs="Arial"/>
          <w:sz w:val="20"/>
          <w:szCs w:val="20"/>
        </w:rPr>
        <w:t>, o</w:t>
      </w:r>
      <w:r w:rsidR="00760EF2">
        <w:rPr>
          <w:rFonts w:ascii="Arial" w:hAnsi="Arial" w:cs="Arial"/>
          <w:sz w:val="20"/>
          <w:szCs w:val="20"/>
        </w:rPr>
        <w:t>yunu almak</w:t>
      </w:r>
      <w:r>
        <w:rPr>
          <w:rFonts w:ascii="Arial" w:hAnsi="Arial" w:cs="Arial"/>
          <w:sz w:val="20"/>
          <w:szCs w:val="20"/>
        </w:rPr>
        <w:t xml:space="preserve"> için</w:t>
      </w:r>
      <w:r w:rsidR="00C36E99">
        <w:rPr>
          <w:rFonts w:ascii="Arial" w:hAnsi="Arial" w:cs="Arial"/>
          <w:sz w:val="20"/>
          <w:szCs w:val="20"/>
        </w:rPr>
        <w:t>,</w:t>
      </w:r>
      <w:r w:rsidR="00760EF2">
        <w:rPr>
          <w:rFonts w:ascii="Arial" w:hAnsi="Arial" w:cs="Arial"/>
          <w:sz w:val="20"/>
          <w:szCs w:val="20"/>
        </w:rPr>
        <w:t xml:space="preserve"> seçimi kazanmak için yapılıyor. Ama iktidarın tüm gayretleri boşuna. Milletimiz onların niyetini biliyor. </w:t>
      </w:r>
      <w:r>
        <w:rPr>
          <w:rFonts w:ascii="Arial" w:hAnsi="Arial" w:cs="Arial"/>
          <w:sz w:val="20"/>
          <w:szCs w:val="20"/>
        </w:rPr>
        <w:t xml:space="preserve">İnşaallah Halkımız </w:t>
      </w:r>
      <w:r w:rsidR="00255B87">
        <w:rPr>
          <w:rFonts w:ascii="Arial" w:hAnsi="Arial" w:cs="Arial"/>
          <w:sz w:val="20"/>
          <w:szCs w:val="20"/>
        </w:rPr>
        <w:t xml:space="preserve">24 Haziran’da </w:t>
      </w:r>
      <w:r>
        <w:rPr>
          <w:rFonts w:ascii="Arial" w:hAnsi="Arial" w:cs="Arial"/>
          <w:sz w:val="20"/>
          <w:szCs w:val="20"/>
        </w:rPr>
        <w:t>s</w:t>
      </w:r>
      <w:r w:rsidR="00760EF2">
        <w:rPr>
          <w:rFonts w:ascii="Arial" w:hAnsi="Arial" w:cs="Arial"/>
          <w:sz w:val="20"/>
          <w:szCs w:val="20"/>
        </w:rPr>
        <w:t xml:space="preserve">andıkta kendilerine hak ettikleri </w:t>
      </w:r>
      <w:r>
        <w:rPr>
          <w:rFonts w:ascii="Arial" w:hAnsi="Arial" w:cs="Arial"/>
          <w:sz w:val="20"/>
          <w:szCs w:val="20"/>
        </w:rPr>
        <w:t>dersi</w:t>
      </w:r>
      <w:r w:rsidR="00760EF2">
        <w:rPr>
          <w:rFonts w:ascii="Arial" w:hAnsi="Arial" w:cs="Arial"/>
          <w:sz w:val="20"/>
          <w:szCs w:val="20"/>
        </w:rPr>
        <w:t xml:space="preserve"> verecek</w:t>
      </w:r>
      <w:r>
        <w:rPr>
          <w:rFonts w:ascii="Arial" w:hAnsi="Arial" w:cs="Arial"/>
          <w:sz w:val="20"/>
          <w:szCs w:val="20"/>
        </w:rPr>
        <w:t xml:space="preserve">tir. </w:t>
      </w:r>
    </w:p>
    <w:p w:rsidR="00142332" w:rsidRDefault="00500FF9" w:rsidP="00274A36">
      <w:pPr>
        <w:spacing w:line="360" w:lineRule="auto"/>
        <w:ind w:firstLine="708"/>
        <w:jc w:val="both"/>
        <w:rPr>
          <w:rFonts w:ascii="Arial" w:hAnsi="Arial" w:cs="Arial"/>
          <w:sz w:val="20"/>
          <w:szCs w:val="20"/>
        </w:rPr>
      </w:pPr>
      <w:r>
        <w:rPr>
          <w:rFonts w:ascii="Arial" w:hAnsi="Arial" w:cs="Arial"/>
          <w:sz w:val="20"/>
          <w:szCs w:val="20"/>
        </w:rPr>
        <w:t>Öte yandan m</w:t>
      </w:r>
      <w:r w:rsidR="00993C48">
        <w:rPr>
          <w:rFonts w:ascii="Arial" w:hAnsi="Arial" w:cs="Arial"/>
          <w:sz w:val="20"/>
          <w:szCs w:val="20"/>
        </w:rPr>
        <w:t>uhalefet partileri ile iktidar partisi AK Parti</w:t>
      </w:r>
      <w:r w:rsidR="00730048">
        <w:rPr>
          <w:rFonts w:ascii="Arial" w:hAnsi="Arial" w:cs="Arial"/>
          <w:sz w:val="20"/>
          <w:szCs w:val="20"/>
        </w:rPr>
        <w:t xml:space="preserve"> </w:t>
      </w:r>
      <w:r w:rsidR="00993C48">
        <w:rPr>
          <w:rFonts w:ascii="Arial" w:hAnsi="Arial" w:cs="Arial"/>
          <w:sz w:val="20"/>
          <w:szCs w:val="20"/>
        </w:rPr>
        <w:t>karşılıklı olarak</w:t>
      </w:r>
      <w:r w:rsidR="00E307AB">
        <w:rPr>
          <w:rFonts w:ascii="Arial" w:hAnsi="Arial" w:cs="Arial"/>
          <w:sz w:val="20"/>
          <w:szCs w:val="20"/>
        </w:rPr>
        <w:t xml:space="preserve"> </w:t>
      </w:r>
      <w:r w:rsidR="00730048">
        <w:rPr>
          <w:rFonts w:ascii="Arial" w:hAnsi="Arial" w:cs="Arial"/>
          <w:sz w:val="20"/>
          <w:szCs w:val="20"/>
        </w:rPr>
        <w:t>birbirlerine laf atıp</w:t>
      </w:r>
      <w:r w:rsidR="00E307AB">
        <w:rPr>
          <w:rFonts w:ascii="Arial" w:hAnsi="Arial" w:cs="Arial"/>
          <w:sz w:val="20"/>
          <w:szCs w:val="20"/>
        </w:rPr>
        <w:t xml:space="preserve"> cevap vermekle meşgul.</w:t>
      </w:r>
      <w:r w:rsidR="00C36E99">
        <w:rPr>
          <w:rFonts w:ascii="Arial" w:hAnsi="Arial" w:cs="Arial"/>
          <w:sz w:val="20"/>
          <w:szCs w:val="20"/>
        </w:rPr>
        <w:t xml:space="preserve"> Yıllardır partiler arasında</w:t>
      </w:r>
      <w:r w:rsidR="00E307AB">
        <w:rPr>
          <w:rFonts w:ascii="Arial" w:hAnsi="Arial" w:cs="Arial"/>
          <w:sz w:val="20"/>
          <w:szCs w:val="20"/>
        </w:rPr>
        <w:t xml:space="preserve"> </w:t>
      </w:r>
      <w:r w:rsidR="00090FEC">
        <w:rPr>
          <w:rFonts w:ascii="Arial" w:hAnsi="Arial" w:cs="Arial"/>
          <w:sz w:val="20"/>
          <w:szCs w:val="20"/>
        </w:rPr>
        <w:t>tam bir kayıkçı kavgası sürü</w:t>
      </w:r>
      <w:r w:rsidR="00255B87">
        <w:rPr>
          <w:rFonts w:ascii="Arial" w:hAnsi="Arial" w:cs="Arial"/>
          <w:sz w:val="20"/>
          <w:szCs w:val="20"/>
        </w:rPr>
        <w:t>p</w:t>
      </w:r>
      <w:r w:rsidR="00090FEC">
        <w:rPr>
          <w:rFonts w:ascii="Arial" w:hAnsi="Arial" w:cs="Arial"/>
          <w:sz w:val="20"/>
          <w:szCs w:val="20"/>
        </w:rPr>
        <w:t xml:space="preserve"> gidiyor. </w:t>
      </w:r>
      <w:r w:rsidR="00E307AB">
        <w:rPr>
          <w:rFonts w:ascii="Arial" w:hAnsi="Arial" w:cs="Arial"/>
          <w:sz w:val="20"/>
          <w:szCs w:val="20"/>
        </w:rPr>
        <w:t>Bu durumda görev bize, milli görüşçülere düşüyor.</w:t>
      </w:r>
      <w:r w:rsidR="003A69CF">
        <w:rPr>
          <w:rFonts w:ascii="Arial" w:hAnsi="Arial" w:cs="Arial"/>
          <w:sz w:val="20"/>
          <w:szCs w:val="20"/>
        </w:rPr>
        <w:t xml:space="preserve"> Ülkemizin sorunlarının, sıkıntılarının giderilmesi için</w:t>
      </w:r>
      <w:r w:rsidR="00E307AB">
        <w:rPr>
          <w:rFonts w:ascii="Arial" w:hAnsi="Arial" w:cs="Arial"/>
          <w:sz w:val="20"/>
          <w:szCs w:val="20"/>
        </w:rPr>
        <w:t xml:space="preserve"> </w:t>
      </w:r>
      <w:r w:rsidR="003A69CF">
        <w:rPr>
          <w:rFonts w:ascii="Arial" w:hAnsi="Arial" w:cs="Arial"/>
          <w:sz w:val="20"/>
          <w:szCs w:val="20"/>
        </w:rPr>
        <w:t>b</w:t>
      </w:r>
      <w:r w:rsidR="00F17B52">
        <w:rPr>
          <w:rFonts w:ascii="Arial" w:hAnsi="Arial" w:cs="Arial"/>
          <w:sz w:val="20"/>
          <w:szCs w:val="20"/>
        </w:rPr>
        <w:t xml:space="preserve">izim yönetime gelmemiz gerekiyor. Bunun için de </w:t>
      </w:r>
      <w:r w:rsidR="00E307AB">
        <w:rPr>
          <w:rFonts w:ascii="Arial" w:hAnsi="Arial" w:cs="Arial"/>
          <w:sz w:val="20"/>
          <w:szCs w:val="20"/>
        </w:rPr>
        <w:t xml:space="preserve">Ülkenin sorunlarını, sıkıntılarını milletimize anlatıp </w:t>
      </w:r>
      <w:r w:rsidR="001C6DF9">
        <w:rPr>
          <w:rFonts w:ascii="Arial" w:hAnsi="Arial" w:cs="Arial"/>
          <w:sz w:val="20"/>
          <w:szCs w:val="20"/>
        </w:rPr>
        <w:t>onların desteğini, oyunu almamız gerekiyor.</w:t>
      </w:r>
      <w:r w:rsidR="00CF372F">
        <w:rPr>
          <w:rFonts w:ascii="Arial" w:hAnsi="Arial" w:cs="Arial"/>
          <w:sz w:val="20"/>
          <w:szCs w:val="20"/>
        </w:rPr>
        <w:t xml:space="preserve"> Bu </w:t>
      </w:r>
      <w:r w:rsidR="00BC0BB2">
        <w:rPr>
          <w:rFonts w:ascii="Arial" w:hAnsi="Arial" w:cs="Arial"/>
          <w:sz w:val="20"/>
          <w:szCs w:val="20"/>
        </w:rPr>
        <w:t xml:space="preserve">amaçla Saadet Partisi olarak çok gayretli bir çalışma yaparak gerekli olan 100.000 imzayı bulup </w:t>
      </w:r>
      <w:r w:rsidR="001D37FF">
        <w:rPr>
          <w:rFonts w:ascii="Arial" w:hAnsi="Arial" w:cs="Arial"/>
          <w:sz w:val="20"/>
          <w:szCs w:val="20"/>
        </w:rPr>
        <w:t>Cumhurbaşkanı adayımızı</w:t>
      </w:r>
      <w:r w:rsidR="00330E4A">
        <w:rPr>
          <w:rFonts w:ascii="Arial" w:hAnsi="Arial" w:cs="Arial"/>
          <w:sz w:val="20"/>
          <w:szCs w:val="20"/>
        </w:rPr>
        <w:t>n</w:t>
      </w:r>
      <w:r w:rsidR="001D37FF">
        <w:rPr>
          <w:rFonts w:ascii="Arial" w:hAnsi="Arial" w:cs="Arial"/>
          <w:sz w:val="20"/>
          <w:szCs w:val="20"/>
        </w:rPr>
        <w:t xml:space="preserve"> </w:t>
      </w:r>
      <w:r w:rsidR="00BC0BB2">
        <w:rPr>
          <w:rFonts w:ascii="Arial" w:hAnsi="Arial" w:cs="Arial"/>
          <w:sz w:val="20"/>
          <w:szCs w:val="20"/>
        </w:rPr>
        <w:t>seçimlere girmesi şartını yerine getirdik.</w:t>
      </w:r>
      <w:r w:rsidR="001D37FF">
        <w:rPr>
          <w:rFonts w:ascii="Arial" w:hAnsi="Arial" w:cs="Arial"/>
          <w:sz w:val="20"/>
          <w:szCs w:val="20"/>
        </w:rPr>
        <w:t xml:space="preserve"> Milletvekili seçimi için</w:t>
      </w:r>
      <w:r w:rsidR="00280609">
        <w:rPr>
          <w:rFonts w:ascii="Arial" w:hAnsi="Arial" w:cs="Arial"/>
          <w:sz w:val="20"/>
          <w:szCs w:val="20"/>
        </w:rPr>
        <w:t xml:space="preserve"> </w:t>
      </w:r>
      <w:r w:rsidR="001D37FF">
        <w:rPr>
          <w:rFonts w:ascii="Arial" w:hAnsi="Arial" w:cs="Arial"/>
          <w:sz w:val="20"/>
          <w:szCs w:val="20"/>
        </w:rPr>
        <w:t xml:space="preserve">de Genel Merkezimiz gerekli çalışmaları </w:t>
      </w:r>
      <w:r w:rsidR="00BC0BB2">
        <w:rPr>
          <w:rFonts w:ascii="Arial" w:hAnsi="Arial" w:cs="Arial"/>
          <w:sz w:val="20"/>
          <w:szCs w:val="20"/>
        </w:rPr>
        <w:t>yapıp Milletveki</w:t>
      </w:r>
      <w:r w:rsidR="00280609">
        <w:rPr>
          <w:rFonts w:ascii="Arial" w:hAnsi="Arial" w:cs="Arial"/>
          <w:sz w:val="20"/>
          <w:szCs w:val="20"/>
        </w:rPr>
        <w:t>li</w:t>
      </w:r>
      <w:r w:rsidR="00BC0BB2">
        <w:rPr>
          <w:rFonts w:ascii="Arial" w:hAnsi="Arial" w:cs="Arial"/>
          <w:sz w:val="20"/>
          <w:szCs w:val="20"/>
        </w:rPr>
        <w:t xml:space="preserve"> </w:t>
      </w:r>
      <w:r w:rsidR="00280609">
        <w:rPr>
          <w:rFonts w:ascii="Arial" w:hAnsi="Arial" w:cs="Arial"/>
          <w:sz w:val="20"/>
          <w:szCs w:val="20"/>
        </w:rPr>
        <w:t xml:space="preserve">listelerini Yüksek Seçim Kurulu’na verdi. 27 Mayıs 2018’de Aday </w:t>
      </w:r>
      <w:r w:rsidR="00C36E99">
        <w:rPr>
          <w:rFonts w:ascii="Arial" w:hAnsi="Arial" w:cs="Arial"/>
          <w:sz w:val="20"/>
          <w:szCs w:val="20"/>
        </w:rPr>
        <w:t>T</w:t>
      </w:r>
      <w:r w:rsidR="00280609">
        <w:rPr>
          <w:rFonts w:ascii="Arial" w:hAnsi="Arial" w:cs="Arial"/>
          <w:sz w:val="20"/>
          <w:szCs w:val="20"/>
        </w:rPr>
        <w:t xml:space="preserve">anıtım </w:t>
      </w:r>
      <w:r w:rsidR="00C36E99">
        <w:rPr>
          <w:rFonts w:ascii="Arial" w:hAnsi="Arial" w:cs="Arial"/>
          <w:sz w:val="20"/>
          <w:szCs w:val="20"/>
        </w:rPr>
        <w:t>T</w:t>
      </w:r>
      <w:r w:rsidR="00280609">
        <w:rPr>
          <w:rFonts w:ascii="Arial" w:hAnsi="Arial" w:cs="Arial"/>
          <w:sz w:val="20"/>
          <w:szCs w:val="20"/>
        </w:rPr>
        <w:t xml:space="preserve">oplantısını yaptık ve aynı toplantıda </w:t>
      </w:r>
      <w:r w:rsidR="00C36E99">
        <w:rPr>
          <w:rFonts w:ascii="Arial" w:hAnsi="Arial" w:cs="Arial"/>
          <w:sz w:val="20"/>
          <w:szCs w:val="20"/>
        </w:rPr>
        <w:t>S</w:t>
      </w:r>
      <w:r w:rsidR="00280609">
        <w:rPr>
          <w:rFonts w:ascii="Arial" w:hAnsi="Arial" w:cs="Arial"/>
          <w:sz w:val="20"/>
          <w:szCs w:val="20"/>
        </w:rPr>
        <w:t xml:space="preserve">eçim Beyannamemizi milletimize açıkladık. </w:t>
      </w:r>
    </w:p>
    <w:p w:rsidR="0090748D" w:rsidRDefault="00255B87" w:rsidP="00274A36">
      <w:pPr>
        <w:spacing w:line="360" w:lineRule="auto"/>
        <w:ind w:firstLine="708"/>
        <w:jc w:val="both"/>
        <w:rPr>
          <w:rFonts w:ascii="Arial" w:hAnsi="Arial" w:cs="Arial"/>
          <w:sz w:val="20"/>
          <w:szCs w:val="20"/>
        </w:rPr>
      </w:pPr>
      <w:r>
        <w:rPr>
          <w:rFonts w:ascii="Arial" w:hAnsi="Arial" w:cs="Arial"/>
          <w:sz w:val="20"/>
          <w:szCs w:val="20"/>
        </w:rPr>
        <w:t>Bilindiği üzere</w:t>
      </w:r>
      <w:r w:rsidR="00C34A8D">
        <w:rPr>
          <w:rFonts w:ascii="Arial" w:hAnsi="Arial" w:cs="Arial"/>
          <w:sz w:val="20"/>
          <w:szCs w:val="20"/>
        </w:rPr>
        <w:t>,</w:t>
      </w:r>
      <w:r>
        <w:rPr>
          <w:rFonts w:ascii="Arial" w:hAnsi="Arial" w:cs="Arial"/>
          <w:sz w:val="20"/>
          <w:szCs w:val="20"/>
        </w:rPr>
        <w:t xml:space="preserve"> </w:t>
      </w:r>
      <w:r w:rsidR="001C6DF9">
        <w:rPr>
          <w:rFonts w:ascii="Arial" w:hAnsi="Arial" w:cs="Arial"/>
          <w:sz w:val="20"/>
          <w:szCs w:val="20"/>
        </w:rPr>
        <w:t xml:space="preserve">Ekonomik İşler Başkanlığı olarak </w:t>
      </w:r>
      <w:r w:rsidR="00C34A8D">
        <w:rPr>
          <w:rFonts w:ascii="Arial" w:hAnsi="Arial" w:cs="Arial"/>
          <w:sz w:val="20"/>
          <w:szCs w:val="20"/>
        </w:rPr>
        <w:t>t</w:t>
      </w:r>
      <w:r w:rsidR="001C6DF9">
        <w:rPr>
          <w:rFonts w:ascii="Arial" w:hAnsi="Arial" w:cs="Arial"/>
          <w:sz w:val="20"/>
          <w:szCs w:val="20"/>
        </w:rPr>
        <w:t xml:space="preserve">eşkilatlarımıza çalışmalarında yardımcı olmak </w:t>
      </w:r>
      <w:r w:rsidR="00C36E99">
        <w:rPr>
          <w:rFonts w:ascii="Arial" w:hAnsi="Arial" w:cs="Arial"/>
          <w:sz w:val="20"/>
          <w:szCs w:val="20"/>
        </w:rPr>
        <w:t>amacıyla</w:t>
      </w:r>
      <w:r w:rsidR="001C6DF9">
        <w:rPr>
          <w:rFonts w:ascii="Arial" w:hAnsi="Arial" w:cs="Arial"/>
          <w:sz w:val="20"/>
          <w:szCs w:val="20"/>
        </w:rPr>
        <w:t xml:space="preserve"> </w:t>
      </w:r>
      <w:r w:rsidR="006E2E87">
        <w:rPr>
          <w:rFonts w:ascii="Arial" w:hAnsi="Arial" w:cs="Arial"/>
          <w:sz w:val="20"/>
          <w:szCs w:val="20"/>
        </w:rPr>
        <w:t xml:space="preserve">her ay </w:t>
      </w:r>
      <w:r w:rsidR="00C36E99">
        <w:rPr>
          <w:rFonts w:ascii="Arial" w:hAnsi="Arial" w:cs="Arial"/>
          <w:sz w:val="20"/>
          <w:szCs w:val="20"/>
        </w:rPr>
        <w:t xml:space="preserve">ekonomi </w:t>
      </w:r>
      <w:r w:rsidR="00556047">
        <w:rPr>
          <w:rFonts w:ascii="Arial" w:hAnsi="Arial" w:cs="Arial"/>
          <w:sz w:val="20"/>
          <w:szCs w:val="20"/>
        </w:rPr>
        <w:t>raporlarımızı hazırl</w:t>
      </w:r>
      <w:r>
        <w:rPr>
          <w:rFonts w:ascii="Arial" w:hAnsi="Arial" w:cs="Arial"/>
          <w:sz w:val="20"/>
          <w:szCs w:val="20"/>
        </w:rPr>
        <w:t>ıyorduk</w:t>
      </w:r>
      <w:r w:rsidR="0037705C">
        <w:rPr>
          <w:rFonts w:ascii="Arial" w:hAnsi="Arial" w:cs="Arial"/>
          <w:sz w:val="20"/>
          <w:szCs w:val="20"/>
        </w:rPr>
        <w:t xml:space="preserve"> ve hazırladığımız </w:t>
      </w:r>
      <w:r w:rsidR="00220A32">
        <w:rPr>
          <w:rFonts w:ascii="Arial" w:hAnsi="Arial" w:cs="Arial"/>
          <w:sz w:val="20"/>
          <w:szCs w:val="20"/>
        </w:rPr>
        <w:t>raporu p</w:t>
      </w:r>
      <w:r w:rsidR="0027675F">
        <w:rPr>
          <w:rFonts w:ascii="Arial" w:hAnsi="Arial" w:cs="Arial"/>
          <w:sz w:val="20"/>
          <w:szCs w:val="20"/>
        </w:rPr>
        <w:t xml:space="preserve">artimizin web sitesine </w:t>
      </w:r>
      <w:r w:rsidR="00734E47">
        <w:rPr>
          <w:rFonts w:ascii="Arial" w:hAnsi="Arial" w:cs="Arial"/>
          <w:sz w:val="20"/>
          <w:szCs w:val="20"/>
        </w:rPr>
        <w:t xml:space="preserve"> (</w:t>
      </w:r>
      <w:hyperlink r:id="rId9" w:history="1">
        <w:r w:rsidR="00220A32" w:rsidRPr="00996763">
          <w:rPr>
            <w:rStyle w:val="Kpr"/>
            <w:rFonts w:ascii="Arial" w:hAnsi="Arial" w:cs="Arial"/>
            <w:sz w:val="20"/>
            <w:szCs w:val="20"/>
          </w:rPr>
          <w:t>www.saadet.org.tr</w:t>
        </w:r>
      </w:hyperlink>
      <w:r w:rsidR="00220A32">
        <w:rPr>
          <w:rFonts w:ascii="Arial" w:hAnsi="Arial" w:cs="Arial"/>
          <w:sz w:val="20"/>
          <w:szCs w:val="20"/>
        </w:rPr>
        <w:t xml:space="preserve"> ana sayfa</w:t>
      </w:r>
      <w:r w:rsidR="00086C19">
        <w:rPr>
          <w:rFonts w:ascii="Arial" w:hAnsi="Arial" w:cs="Arial"/>
          <w:sz w:val="20"/>
          <w:szCs w:val="20"/>
        </w:rPr>
        <w:t xml:space="preserve"> </w:t>
      </w:r>
      <w:r w:rsidR="00220A32" w:rsidRPr="00220A32">
        <w:rPr>
          <w:rFonts w:ascii="Arial" w:hAnsi="Arial" w:cs="Arial"/>
          <w:b/>
          <w:sz w:val="20"/>
          <w:szCs w:val="20"/>
        </w:rPr>
        <w:t>Raporlar</w:t>
      </w:r>
      <w:r w:rsidR="006C4351">
        <w:rPr>
          <w:rFonts w:ascii="Arial" w:hAnsi="Arial" w:cs="Arial"/>
          <w:sz w:val="20"/>
          <w:szCs w:val="20"/>
        </w:rPr>
        <w:t>)</w:t>
      </w:r>
      <w:r w:rsidR="00220A32">
        <w:rPr>
          <w:rFonts w:ascii="Arial" w:hAnsi="Arial" w:cs="Arial"/>
          <w:sz w:val="20"/>
          <w:szCs w:val="20"/>
        </w:rPr>
        <w:t xml:space="preserve"> </w:t>
      </w:r>
      <w:r w:rsidR="0027675F">
        <w:rPr>
          <w:rFonts w:ascii="Arial" w:hAnsi="Arial" w:cs="Arial"/>
          <w:sz w:val="20"/>
          <w:szCs w:val="20"/>
        </w:rPr>
        <w:t>d</w:t>
      </w:r>
      <w:r w:rsidR="006C4351">
        <w:rPr>
          <w:rFonts w:ascii="Arial" w:hAnsi="Arial" w:cs="Arial"/>
          <w:sz w:val="20"/>
          <w:szCs w:val="20"/>
        </w:rPr>
        <w:t>e</w:t>
      </w:r>
      <w:r w:rsidR="0027675F">
        <w:rPr>
          <w:rFonts w:ascii="Arial" w:hAnsi="Arial" w:cs="Arial"/>
          <w:sz w:val="20"/>
          <w:szCs w:val="20"/>
        </w:rPr>
        <w:t xml:space="preserve"> koy</w:t>
      </w:r>
      <w:r w:rsidR="00F17B52">
        <w:rPr>
          <w:rFonts w:ascii="Arial" w:hAnsi="Arial" w:cs="Arial"/>
          <w:sz w:val="20"/>
          <w:szCs w:val="20"/>
        </w:rPr>
        <w:t>uyor</w:t>
      </w:r>
      <w:r w:rsidR="0037705C">
        <w:rPr>
          <w:rFonts w:ascii="Arial" w:hAnsi="Arial" w:cs="Arial"/>
          <w:sz w:val="20"/>
          <w:szCs w:val="20"/>
        </w:rPr>
        <w:t>duk. Bu ay seçim çalışmalarını da düşünerek milletvekili adaylarımıza, parti mensuplarımıza ve hatiplerimize konuşmalarında yardımcı olmak üzere aylık raporumuzu hazırladık ve partimizin web sitesine (</w:t>
      </w:r>
      <w:hyperlink r:id="rId10" w:history="1">
        <w:r w:rsidR="0037705C" w:rsidRPr="00996763">
          <w:rPr>
            <w:rStyle w:val="Kpr"/>
            <w:rFonts w:ascii="Arial" w:hAnsi="Arial" w:cs="Arial"/>
            <w:sz w:val="20"/>
            <w:szCs w:val="20"/>
          </w:rPr>
          <w:t>www.saadet.org.tr</w:t>
        </w:r>
      </w:hyperlink>
      <w:r w:rsidR="0037705C">
        <w:rPr>
          <w:rFonts w:ascii="Arial" w:hAnsi="Arial" w:cs="Arial"/>
          <w:sz w:val="20"/>
          <w:szCs w:val="20"/>
        </w:rPr>
        <w:t xml:space="preserve"> ana sayfa </w:t>
      </w:r>
      <w:r w:rsidR="0037705C" w:rsidRPr="00220A32">
        <w:rPr>
          <w:rFonts w:ascii="Arial" w:hAnsi="Arial" w:cs="Arial"/>
          <w:b/>
          <w:sz w:val="20"/>
          <w:szCs w:val="20"/>
        </w:rPr>
        <w:t>Raporlar</w:t>
      </w:r>
      <w:r w:rsidR="0037705C">
        <w:rPr>
          <w:rFonts w:ascii="Arial" w:hAnsi="Arial" w:cs="Arial"/>
          <w:sz w:val="20"/>
          <w:szCs w:val="20"/>
        </w:rPr>
        <w:t xml:space="preserve">) koyduk. </w:t>
      </w:r>
      <w:r w:rsidR="00A37EE7">
        <w:rPr>
          <w:rFonts w:ascii="Arial" w:hAnsi="Arial" w:cs="Arial"/>
          <w:sz w:val="20"/>
          <w:szCs w:val="20"/>
        </w:rPr>
        <w:t xml:space="preserve">Çalışmak bizden </w:t>
      </w:r>
      <w:r w:rsidR="007F64F8">
        <w:rPr>
          <w:rFonts w:ascii="Arial" w:hAnsi="Arial" w:cs="Arial"/>
          <w:sz w:val="20"/>
          <w:szCs w:val="20"/>
        </w:rPr>
        <w:t xml:space="preserve">muvaffakiyet </w:t>
      </w:r>
      <w:r w:rsidR="00A37EE7">
        <w:rPr>
          <w:rFonts w:ascii="Arial" w:hAnsi="Arial" w:cs="Arial"/>
          <w:sz w:val="20"/>
          <w:szCs w:val="20"/>
        </w:rPr>
        <w:t>Yüce Allah</w:t>
      </w:r>
      <w:r w:rsidR="002C51A7">
        <w:rPr>
          <w:rFonts w:ascii="Arial" w:hAnsi="Arial" w:cs="Arial"/>
          <w:sz w:val="20"/>
          <w:szCs w:val="20"/>
        </w:rPr>
        <w:t>’</w:t>
      </w:r>
      <w:r w:rsidR="00A37EE7">
        <w:rPr>
          <w:rFonts w:ascii="Arial" w:hAnsi="Arial" w:cs="Arial"/>
          <w:sz w:val="20"/>
          <w:szCs w:val="20"/>
        </w:rPr>
        <w:t>tan.</w:t>
      </w:r>
    </w:p>
    <w:p w:rsidR="00BB73FD" w:rsidRDefault="00BB73FD" w:rsidP="00274A36">
      <w:pPr>
        <w:spacing w:line="360" w:lineRule="auto"/>
        <w:ind w:firstLine="708"/>
        <w:jc w:val="both"/>
        <w:rPr>
          <w:rFonts w:ascii="Arial" w:hAnsi="Arial" w:cs="Arial"/>
          <w:sz w:val="20"/>
          <w:szCs w:val="20"/>
        </w:rPr>
      </w:pPr>
    </w:p>
    <w:p w:rsidR="00242739" w:rsidRDefault="003242FB" w:rsidP="000D222D">
      <w:pPr>
        <w:pStyle w:val="ListeParagraf"/>
        <w:numPr>
          <w:ilvl w:val="0"/>
          <w:numId w:val="1"/>
        </w:numPr>
        <w:tabs>
          <w:tab w:val="left" w:pos="284"/>
        </w:tabs>
        <w:spacing w:after="200" w:line="360" w:lineRule="auto"/>
        <w:ind w:left="0" w:firstLine="0"/>
        <w:jc w:val="both"/>
        <w:rPr>
          <w:sz w:val="20"/>
          <w:szCs w:val="20"/>
        </w:rPr>
      </w:pPr>
      <w:r w:rsidRPr="00242739">
        <w:rPr>
          <w:b/>
          <w:sz w:val="20"/>
          <w:szCs w:val="20"/>
        </w:rPr>
        <w:t xml:space="preserve">İşsizlik. </w:t>
      </w:r>
      <w:r w:rsidRPr="00242739">
        <w:rPr>
          <w:sz w:val="20"/>
          <w:szCs w:val="20"/>
        </w:rPr>
        <w:t xml:space="preserve">TÜİK tarafından yayınlanan verilere göre, </w:t>
      </w:r>
      <w:r w:rsidR="00280609">
        <w:rPr>
          <w:sz w:val="20"/>
          <w:szCs w:val="20"/>
        </w:rPr>
        <w:t>Ocak</w:t>
      </w:r>
      <w:r w:rsidR="000F0D67">
        <w:rPr>
          <w:sz w:val="20"/>
          <w:szCs w:val="20"/>
        </w:rPr>
        <w:t xml:space="preserve"> </w:t>
      </w:r>
      <w:r w:rsidR="006E118B" w:rsidRPr="00242739">
        <w:rPr>
          <w:sz w:val="20"/>
          <w:szCs w:val="20"/>
        </w:rPr>
        <w:t>201</w:t>
      </w:r>
      <w:r w:rsidR="00280609">
        <w:rPr>
          <w:sz w:val="20"/>
          <w:szCs w:val="20"/>
        </w:rPr>
        <w:t>8</w:t>
      </w:r>
      <w:r w:rsidR="006E118B" w:rsidRPr="00242739">
        <w:rPr>
          <w:sz w:val="20"/>
          <w:szCs w:val="20"/>
        </w:rPr>
        <w:t>’d</w:t>
      </w:r>
      <w:r w:rsidR="006E7EBD" w:rsidRPr="00242739">
        <w:rPr>
          <w:sz w:val="20"/>
          <w:szCs w:val="20"/>
        </w:rPr>
        <w:t>e</w:t>
      </w:r>
      <w:r w:rsidR="001C6DF9">
        <w:rPr>
          <w:sz w:val="20"/>
          <w:szCs w:val="20"/>
        </w:rPr>
        <w:t xml:space="preserve"> </w:t>
      </w:r>
      <w:r w:rsidR="0026253F">
        <w:rPr>
          <w:sz w:val="20"/>
          <w:szCs w:val="20"/>
        </w:rPr>
        <w:t>% 10.</w:t>
      </w:r>
      <w:r w:rsidR="00280609">
        <w:rPr>
          <w:sz w:val="20"/>
          <w:szCs w:val="20"/>
        </w:rPr>
        <w:t>8</w:t>
      </w:r>
      <w:r w:rsidR="0026253F">
        <w:rPr>
          <w:sz w:val="20"/>
          <w:szCs w:val="20"/>
        </w:rPr>
        <w:t xml:space="preserve"> olan</w:t>
      </w:r>
      <w:r w:rsidR="006E118B" w:rsidRPr="00242739">
        <w:rPr>
          <w:sz w:val="20"/>
          <w:szCs w:val="20"/>
        </w:rPr>
        <w:t xml:space="preserve"> </w:t>
      </w:r>
      <w:r w:rsidR="00CC7E97">
        <w:rPr>
          <w:sz w:val="20"/>
          <w:szCs w:val="20"/>
        </w:rPr>
        <w:t xml:space="preserve">işsizlik oranı </w:t>
      </w:r>
      <w:r w:rsidR="00280609">
        <w:rPr>
          <w:sz w:val="20"/>
          <w:szCs w:val="20"/>
        </w:rPr>
        <w:t>Şubat</w:t>
      </w:r>
      <w:r w:rsidR="00643E95">
        <w:rPr>
          <w:sz w:val="20"/>
          <w:szCs w:val="20"/>
        </w:rPr>
        <w:t xml:space="preserve"> </w:t>
      </w:r>
      <w:r w:rsidR="001C6DF9">
        <w:rPr>
          <w:sz w:val="20"/>
          <w:szCs w:val="20"/>
        </w:rPr>
        <w:t>201</w:t>
      </w:r>
      <w:r w:rsidR="00643E95">
        <w:rPr>
          <w:sz w:val="20"/>
          <w:szCs w:val="20"/>
        </w:rPr>
        <w:t>8</w:t>
      </w:r>
      <w:r w:rsidR="001C6DF9">
        <w:rPr>
          <w:sz w:val="20"/>
          <w:szCs w:val="20"/>
        </w:rPr>
        <w:t xml:space="preserve">’de </w:t>
      </w:r>
      <w:r w:rsidR="006E118B" w:rsidRPr="00242739">
        <w:rPr>
          <w:sz w:val="20"/>
          <w:szCs w:val="20"/>
        </w:rPr>
        <w:t xml:space="preserve">% </w:t>
      </w:r>
      <w:r w:rsidR="008020C5">
        <w:rPr>
          <w:sz w:val="20"/>
          <w:szCs w:val="20"/>
        </w:rPr>
        <w:t>10.</w:t>
      </w:r>
      <w:r w:rsidR="00280609">
        <w:rPr>
          <w:sz w:val="20"/>
          <w:szCs w:val="20"/>
        </w:rPr>
        <w:t>6</w:t>
      </w:r>
      <w:r w:rsidR="006E118B" w:rsidRPr="00242739">
        <w:rPr>
          <w:sz w:val="20"/>
          <w:szCs w:val="20"/>
        </w:rPr>
        <w:t xml:space="preserve"> ol</w:t>
      </w:r>
      <w:r w:rsidR="00CC7E97">
        <w:rPr>
          <w:sz w:val="20"/>
          <w:szCs w:val="20"/>
        </w:rPr>
        <w:t>muş</w:t>
      </w:r>
      <w:r w:rsidR="00195489">
        <w:rPr>
          <w:sz w:val="20"/>
          <w:szCs w:val="20"/>
        </w:rPr>
        <w:t>tur</w:t>
      </w:r>
      <w:r w:rsidR="009E590F">
        <w:rPr>
          <w:sz w:val="20"/>
          <w:szCs w:val="20"/>
        </w:rPr>
        <w:t>.</w:t>
      </w:r>
      <w:r w:rsidR="006E118B" w:rsidRPr="00242739">
        <w:rPr>
          <w:sz w:val="20"/>
          <w:szCs w:val="20"/>
        </w:rPr>
        <w:t xml:space="preserve"> </w:t>
      </w:r>
      <w:r w:rsidR="006E118B" w:rsidRPr="00242739">
        <w:rPr>
          <w:b/>
          <w:sz w:val="20"/>
          <w:szCs w:val="20"/>
        </w:rPr>
        <w:t xml:space="preserve">Yani </w:t>
      </w:r>
      <w:r w:rsidR="008020C5">
        <w:rPr>
          <w:b/>
          <w:sz w:val="20"/>
          <w:szCs w:val="20"/>
        </w:rPr>
        <w:t>işsizlik oranı</w:t>
      </w:r>
      <w:r w:rsidR="00734007">
        <w:rPr>
          <w:b/>
          <w:sz w:val="20"/>
          <w:szCs w:val="20"/>
        </w:rPr>
        <w:t xml:space="preserve">nda </w:t>
      </w:r>
      <w:r w:rsidR="00C36E99">
        <w:rPr>
          <w:b/>
          <w:sz w:val="20"/>
          <w:szCs w:val="20"/>
        </w:rPr>
        <w:t xml:space="preserve">son ayda </w:t>
      </w:r>
      <w:r w:rsidR="00643E95">
        <w:rPr>
          <w:b/>
          <w:sz w:val="20"/>
          <w:szCs w:val="20"/>
        </w:rPr>
        <w:t>% 0.</w:t>
      </w:r>
      <w:r w:rsidR="00280609">
        <w:rPr>
          <w:b/>
          <w:sz w:val="20"/>
          <w:szCs w:val="20"/>
        </w:rPr>
        <w:t>2</w:t>
      </w:r>
      <w:r w:rsidR="00734007">
        <w:rPr>
          <w:b/>
          <w:sz w:val="20"/>
          <w:szCs w:val="20"/>
        </w:rPr>
        <w:t xml:space="preserve"> a</w:t>
      </w:r>
      <w:r w:rsidR="00280609">
        <w:rPr>
          <w:b/>
          <w:sz w:val="20"/>
          <w:szCs w:val="20"/>
        </w:rPr>
        <w:t>zalma</w:t>
      </w:r>
      <w:r w:rsidR="00734007">
        <w:rPr>
          <w:b/>
          <w:sz w:val="20"/>
          <w:szCs w:val="20"/>
        </w:rPr>
        <w:t xml:space="preserve"> vardır</w:t>
      </w:r>
      <w:r w:rsidR="000E67B4">
        <w:rPr>
          <w:b/>
          <w:sz w:val="20"/>
          <w:szCs w:val="20"/>
        </w:rPr>
        <w:t>,</w:t>
      </w:r>
      <w:r w:rsidR="00734007">
        <w:rPr>
          <w:b/>
          <w:sz w:val="20"/>
          <w:szCs w:val="20"/>
        </w:rPr>
        <w:t xml:space="preserve"> </w:t>
      </w:r>
      <w:r w:rsidR="00C36E99">
        <w:rPr>
          <w:b/>
          <w:sz w:val="20"/>
          <w:szCs w:val="20"/>
        </w:rPr>
        <w:t>ancak</w:t>
      </w:r>
      <w:r w:rsidR="00734007">
        <w:rPr>
          <w:b/>
          <w:sz w:val="20"/>
          <w:szCs w:val="20"/>
        </w:rPr>
        <w:t xml:space="preserve"> işsizlik oranı</w:t>
      </w:r>
      <w:r w:rsidR="008020C5">
        <w:rPr>
          <w:b/>
          <w:sz w:val="20"/>
          <w:szCs w:val="20"/>
        </w:rPr>
        <w:t xml:space="preserve"> </w:t>
      </w:r>
      <w:r w:rsidR="00280609">
        <w:rPr>
          <w:b/>
          <w:sz w:val="20"/>
          <w:szCs w:val="20"/>
        </w:rPr>
        <w:t xml:space="preserve">hala </w:t>
      </w:r>
      <w:r w:rsidR="007A6FFB">
        <w:rPr>
          <w:b/>
          <w:sz w:val="20"/>
          <w:szCs w:val="20"/>
        </w:rPr>
        <w:t>çift haneli rakamlarda seyretme</w:t>
      </w:r>
      <w:r w:rsidR="0042573A">
        <w:rPr>
          <w:b/>
          <w:sz w:val="20"/>
          <w:szCs w:val="20"/>
        </w:rPr>
        <w:t xml:space="preserve">ye devam etmektedir. </w:t>
      </w:r>
      <w:r w:rsidR="009C75C3" w:rsidRPr="00242739">
        <w:rPr>
          <w:b/>
          <w:sz w:val="20"/>
          <w:szCs w:val="20"/>
        </w:rPr>
        <w:t>S</w:t>
      </w:r>
      <w:r w:rsidRPr="00242739">
        <w:rPr>
          <w:b/>
          <w:sz w:val="20"/>
          <w:szCs w:val="20"/>
        </w:rPr>
        <w:t xml:space="preserve">ayısal olarak </w:t>
      </w:r>
      <w:r w:rsidR="0020519F" w:rsidRPr="00242739">
        <w:rPr>
          <w:b/>
          <w:sz w:val="20"/>
          <w:szCs w:val="20"/>
        </w:rPr>
        <w:t>3</w:t>
      </w:r>
      <w:r w:rsidR="005E4ADA" w:rsidRPr="00242739">
        <w:rPr>
          <w:b/>
          <w:sz w:val="20"/>
          <w:szCs w:val="20"/>
        </w:rPr>
        <w:t>.</w:t>
      </w:r>
      <w:r w:rsidR="00280609">
        <w:rPr>
          <w:b/>
          <w:sz w:val="20"/>
          <w:szCs w:val="20"/>
        </w:rPr>
        <w:t>354</w:t>
      </w:r>
      <w:r w:rsidRPr="00242739">
        <w:rPr>
          <w:b/>
          <w:sz w:val="20"/>
          <w:szCs w:val="20"/>
        </w:rPr>
        <w:t xml:space="preserve">.000 insanımız işsizdir. </w:t>
      </w:r>
      <w:r w:rsidR="00717F43">
        <w:rPr>
          <w:b/>
          <w:sz w:val="20"/>
          <w:szCs w:val="20"/>
        </w:rPr>
        <w:t xml:space="preserve">TÜİK’in </w:t>
      </w:r>
      <w:r w:rsidR="00643E95">
        <w:rPr>
          <w:b/>
          <w:sz w:val="20"/>
          <w:szCs w:val="20"/>
        </w:rPr>
        <w:t xml:space="preserve">Aylık değil de yıllık işsizlik oranı incelendiğinde 2016 yılında </w:t>
      </w:r>
      <w:r w:rsidR="00AC7116">
        <w:rPr>
          <w:b/>
          <w:sz w:val="20"/>
          <w:szCs w:val="20"/>
        </w:rPr>
        <w:t>% 10.9 olan işsizlik oranının 2017 yılında da % 10.9 olduğu görülmektedir. Sayısal olarak konu in</w:t>
      </w:r>
      <w:r w:rsidR="00E445DB">
        <w:rPr>
          <w:b/>
          <w:sz w:val="20"/>
          <w:szCs w:val="20"/>
        </w:rPr>
        <w:t xml:space="preserve">celendiğinde 2016 yılında 3.330.000 </w:t>
      </w:r>
      <w:r w:rsidR="00AC7116">
        <w:rPr>
          <w:b/>
          <w:sz w:val="20"/>
          <w:szCs w:val="20"/>
        </w:rPr>
        <w:t>olan işs</w:t>
      </w:r>
      <w:r w:rsidR="00E445DB">
        <w:rPr>
          <w:b/>
          <w:sz w:val="20"/>
          <w:szCs w:val="20"/>
        </w:rPr>
        <w:t xml:space="preserve">iz sayısının 2017 yılında 3.454.000’e </w:t>
      </w:r>
      <w:r w:rsidR="00AC7116">
        <w:rPr>
          <w:b/>
          <w:sz w:val="20"/>
          <w:szCs w:val="20"/>
        </w:rPr>
        <w:t>yükseldiği, yan</w:t>
      </w:r>
      <w:r w:rsidR="00E445DB">
        <w:rPr>
          <w:b/>
          <w:sz w:val="20"/>
          <w:szCs w:val="20"/>
        </w:rPr>
        <w:t xml:space="preserve">i bir yılda işsiz sayısının 124.000 </w:t>
      </w:r>
      <w:r w:rsidR="00AC7116">
        <w:rPr>
          <w:b/>
          <w:sz w:val="20"/>
          <w:szCs w:val="20"/>
        </w:rPr>
        <w:t xml:space="preserve">adet arttığı görülmektedir. </w:t>
      </w:r>
      <w:r w:rsidR="006E2E87">
        <w:rPr>
          <w:sz w:val="20"/>
          <w:szCs w:val="20"/>
        </w:rPr>
        <w:t xml:space="preserve">İşsiz </w:t>
      </w:r>
      <w:r w:rsidR="000F0D67">
        <w:rPr>
          <w:sz w:val="20"/>
          <w:szCs w:val="20"/>
        </w:rPr>
        <w:t>sayı</w:t>
      </w:r>
      <w:r w:rsidR="006E2E87">
        <w:rPr>
          <w:sz w:val="20"/>
          <w:szCs w:val="20"/>
        </w:rPr>
        <w:t>sı</w:t>
      </w:r>
      <w:r w:rsidR="000F0D67">
        <w:rPr>
          <w:sz w:val="20"/>
          <w:szCs w:val="20"/>
        </w:rPr>
        <w:t xml:space="preserve">nın </w:t>
      </w:r>
      <w:r w:rsidR="00270847">
        <w:rPr>
          <w:sz w:val="20"/>
          <w:szCs w:val="20"/>
        </w:rPr>
        <w:t xml:space="preserve">çok daha az </w:t>
      </w:r>
      <w:r w:rsidR="006E2E87">
        <w:rPr>
          <w:sz w:val="20"/>
          <w:szCs w:val="20"/>
        </w:rPr>
        <w:t>ve işsizlik oranının da çok daha düşük</w:t>
      </w:r>
      <w:r w:rsidR="00270847">
        <w:rPr>
          <w:sz w:val="20"/>
          <w:szCs w:val="20"/>
        </w:rPr>
        <w:t xml:space="preserve"> düzeyde </w:t>
      </w:r>
      <w:r w:rsidR="000F0D67">
        <w:rPr>
          <w:sz w:val="20"/>
          <w:szCs w:val="20"/>
        </w:rPr>
        <w:t>olması gerekmektedir.</w:t>
      </w:r>
      <w:r w:rsidR="00D6083E">
        <w:rPr>
          <w:sz w:val="20"/>
          <w:szCs w:val="20"/>
        </w:rPr>
        <w:t xml:space="preserve"> </w:t>
      </w:r>
      <w:r w:rsidR="00BB73FD">
        <w:rPr>
          <w:sz w:val="20"/>
          <w:szCs w:val="20"/>
        </w:rPr>
        <w:t>Y</w:t>
      </w:r>
      <w:r w:rsidR="00AF0B84">
        <w:rPr>
          <w:sz w:val="20"/>
          <w:szCs w:val="20"/>
        </w:rPr>
        <w:t>ıllardan beri işsizlik oranı yüksek düzeyde seyre</w:t>
      </w:r>
      <w:r w:rsidR="00A42262">
        <w:rPr>
          <w:sz w:val="20"/>
          <w:szCs w:val="20"/>
        </w:rPr>
        <w:t>diyor. Bu durum</w:t>
      </w:r>
      <w:r w:rsidR="00AF0B84">
        <w:rPr>
          <w:sz w:val="20"/>
          <w:szCs w:val="20"/>
        </w:rPr>
        <w:t xml:space="preserve"> </w:t>
      </w:r>
      <w:r w:rsidR="00813DE1" w:rsidRPr="00242739">
        <w:rPr>
          <w:sz w:val="20"/>
          <w:szCs w:val="20"/>
        </w:rPr>
        <w:t xml:space="preserve">iyiye değildir. </w:t>
      </w:r>
      <w:r w:rsidR="00D765BD" w:rsidRPr="00242739">
        <w:rPr>
          <w:sz w:val="20"/>
          <w:szCs w:val="20"/>
        </w:rPr>
        <w:t xml:space="preserve">Dileğimiz </w:t>
      </w:r>
      <w:r w:rsidR="00513384">
        <w:rPr>
          <w:sz w:val="20"/>
          <w:szCs w:val="20"/>
        </w:rPr>
        <w:t xml:space="preserve">bu ülkede yaşayan her insanımızın iş bulup çalışması ve dolayısıyla </w:t>
      </w:r>
      <w:r w:rsidR="00087FD4" w:rsidRPr="00242739">
        <w:rPr>
          <w:sz w:val="20"/>
          <w:szCs w:val="20"/>
        </w:rPr>
        <w:t>işsizlik oranı</w:t>
      </w:r>
      <w:r w:rsidR="00D765BD" w:rsidRPr="00242739">
        <w:rPr>
          <w:sz w:val="20"/>
          <w:szCs w:val="20"/>
        </w:rPr>
        <w:t>nın</w:t>
      </w:r>
      <w:r w:rsidR="00087FD4" w:rsidRPr="00242739">
        <w:rPr>
          <w:sz w:val="20"/>
          <w:szCs w:val="20"/>
        </w:rPr>
        <w:t xml:space="preserve"> düş</w:t>
      </w:r>
      <w:r w:rsidR="008F0836" w:rsidRPr="00242739">
        <w:rPr>
          <w:sz w:val="20"/>
          <w:szCs w:val="20"/>
        </w:rPr>
        <w:t>ük olması</w:t>
      </w:r>
      <w:r w:rsidR="00242739" w:rsidRPr="00242739">
        <w:rPr>
          <w:sz w:val="20"/>
          <w:szCs w:val="20"/>
        </w:rPr>
        <w:t xml:space="preserve">dır. </w:t>
      </w:r>
    </w:p>
    <w:p w:rsidR="003242FB" w:rsidRPr="00A2212E" w:rsidRDefault="00906EAF" w:rsidP="00242739">
      <w:pPr>
        <w:pStyle w:val="ListeParagraf"/>
        <w:tabs>
          <w:tab w:val="left" w:pos="284"/>
        </w:tabs>
        <w:spacing w:after="200" w:line="360" w:lineRule="auto"/>
        <w:ind w:left="0"/>
        <w:jc w:val="both"/>
        <w:rPr>
          <w:b/>
          <w:sz w:val="20"/>
          <w:szCs w:val="20"/>
        </w:rPr>
      </w:pPr>
      <w:r>
        <w:rPr>
          <w:b/>
          <w:sz w:val="20"/>
          <w:szCs w:val="20"/>
        </w:rPr>
        <w:lastRenderedPageBreak/>
        <w:tab/>
      </w:r>
      <w:r w:rsidR="001C6DF9">
        <w:rPr>
          <w:b/>
          <w:sz w:val="20"/>
          <w:szCs w:val="20"/>
        </w:rPr>
        <w:t>201</w:t>
      </w:r>
      <w:r w:rsidR="009163F7">
        <w:rPr>
          <w:b/>
          <w:sz w:val="20"/>
          <w:szCs w:val="20"/>
        </w:rPr>
        <w:t>6 yılında</w:t>
      </w:r>
      <w:r w:rsidR="001C6DF9">
        <w:rPr>
          <w:b/>
          <w:sz w:val="20"/>
          <w:szCs w:val="20"/>
        </w:rPr>
        <w:t xml:space="preserve"> </w:t>
      </w:r>
      <w:r w:rsidR="00B00A1F">
        <w:rPr>
          <w:b/>
          <w:sz w:val="20"/>
          <w:szCs w:val="20"/>
        </w:rPr>
        <w:t>% 19.</w:t>
      </w:r>
      <w:r w:rsidR="009163F7">
        <w:rPr>
          <w:b/>
          <w:sz w:val="20"/>
          <w:szCs w:val="20"/>
        </w:rPr>
        <w:t>6</w:t>
      </w:r>
      <w:r w:rsidR="00B00A1F">
        <w:rPr>
          <w:b/>
          <w:sz w:val="20"/>
          <w:szCs w:val="20"/>
        </w:rPr>
        <w:t xml:space="preserve"> olan </w:t>
      </w:r>
      <w:r w:rsidR="003B0306">
        <w:rPr>
          <w:b/>
          <w:sz w:val="20"/>
          <w:szCs w:val="20"/>
        </w:rPr>
        <w:t>G</w:t>
      </w:r>
      <w:r w:rsidR="003242FB" w:rsidRPr="00242739">
        <w:rPr>
          <w:b/>
          <w:sz w:val="20"/>
          <w:szCs w:val="20"/>
        </w:rPr>
        <w:t xml:space="preserve">enç nüfustaki </w:t>
      </w:r>
      <w:r w:rsidR="00AF0B84">
        <w:rPr>
          <w:b/>
          <w:sz w:val="20"/>
          <w:szCs w:val="20"/>
        </w:rPr>
        <w:t xml:space="preserve">(15-24 yaş grubu) </w:t>
      </w:r>
      <w:r w:rsidR="003242FB" w:rsidRPr="00242739">
        <w:rPr>
          <w:b/>
          <w:sz w:val="20"/>
          <w:szCs w:val="20"/>
        </w:rPr>
        <w:t>işsizlik oranı</w:t>
      </w:r>
      <w:r w:rsidR="001C6DF9">
        <w:rPr>
          <w:b/>
          <w:sz w:val="20"/>
          <w:szCs w:val="20"/>
        </w:rPr>
        <w:t xml:space="preserve"> </w:t>
      </w:r>
      <w:r w:rsidR="00513384" w:rsidRPr="00242739">
        <w:rPr>
          <w:b/>
          <w:sz w:val="20"/>
          <w:szCs w:val="20"/>
        </w:rPr>
        <w:t>201</w:t>
      </w:r>
      <w:r w:rsidR="00513384">
        <w:rPr>
          <w:b/>
          <w:sz w:val="20"/>
          <w:szCs w:val="20"/>
        </w:rPr>
        <w:t>7</w:t>
      </w:r>
      <w:r w:rsidR="009163F7">
        <w:rPr>
          <w:b/>
          <w:sz w:val="20"/>
          <w:szCs w:val="20"/>
        </w:rPr>
        <w:t xml:space="preserve"> yılında</w:t>
      </w:r>
      <w:r w:rsidR="003B0306">
        <w:rPr>
          <w:b/>
          <w:sz w:val="20"/>
          <w:szCs w:val="20"/>
        </w:rPr>
        <w:t xml:space="preserve"> </w:t>
      </w:r>
      <w:r w:rsidR="00513384">
        <w:rPr>
          <w:b/>
          <w:sz w:val="20"/>
          <w:szCs w:val="20"/>
        </w:rPr>
        <w:t xml:space="preserve">% </w:t>
      </w:r>
      <w:r w:rsidR="009163F7">
        <w:rPr>
          <w:b/>
          <w:sz w:val="20"/>
          <w:szCs w:val="20"/>
        </w:rPr>
        <w:t>20.8</w:t>
      </w:r>
      <w:r w:rsidR="00513384">
        <w:rPr>
          <w:b/>
          <w:sz w:val="20"/>
          <w:szCs w:val="20"/>
        </w:rPr>
        <w:t xml:space="preserve"> olmuştur.</w:t>
      </w:r>
      <w:r w:rsidR="0020519F" w:rsidRPr="00242739">
        <w:rPr>
          <w:b/>
          <w:sz w:val="20"/>
          <w:szCs w:val="20"/>
        </w:rPr>
        <w:t xml:space="preserve"> </w:t>
      </w:r>
      <w:r w:rsidR="00F17B52">
        <w:rPr>
          <w:sz w:val="20"/>
          <w:szCs w:val="20"/>
        </w:rPr>
        <w:t>B</w:t>
      </w:r>
      <w:r w:rsidR="006E2E87">
        <w:rPr>
          <w:sz w:val="20"/>
          <w:szCs w:val="20"/>
        </w:rPr>
        <w:t>ir yıl önces</w:t>
      </w:r>
      <w:r w:rsidR="00F17B52">
        <w:rPr>
          <w:sz w:val="20"/>
          <w:szCs w:val="20"/>
        </w:rPr>
        <w:t>i ile</w:t>
      </w:r>
      <w:r w:rsidR="006E2E87">
        <w:rPr>
          <w:sz w:val="20"/>
          <w:szCs w:val="20"/>
        </w:rPr>
        <w:t xml:space="preserve"> </w:t>
      </w:r>
      <w:r w:rsidR="00F17B52">
        <w:rPr>
          <w:sz w:val="20"/>
          <w:szCs w:val="20"/>
        </w:rPr>
        <w:t xml:space="preserve">mukayese edildiğinde </w:t>
      </w:r>
      <w:r w:rsidR="006E2E87">
        <w:rPr>
          <w:sz w:val="20"/>
          <w:szCs w:val="20"/>
        </w:rPr>
        <w:t xml:space="preserve">genç nüfustaki işsizlik oranı </w:t>
      </w:r>
      <w:r w:rsidR="00717F43">
        <w:rPr>
          <w:sz w:val="20"/>
          <w:szCs w:val="20"/>
        </w:rPr>
        <w:t xml:space="preserve">2017 yılında </w:t>
      </w:r>
      <w:r w:rsidR="009163F7">
        <w:rPr>
          <w:sz w:val="20"/>
          <w:szCs w:val="20"/>
        </w:rPr>
        <w:t>% 1.2 artmıştır. Yıllardan beri</w:t>
      </w:r>
      <w:r w:rsidR="006E2E87">
        <w:rPr>
          <w:sz w:val="20"/>
          <w:szCs w:val="20"/>
        </w:rPr>
        <w:t xml:space="preserve"> ülkemizde</w:t>
      </w:r>
      <w:r w:rsidR="009163F7">
        <w:rPr>
          <w:sz w:val="20"/>
          <w:szCs w:val="20"/>
        </w:rPr>
        <w:t xml:space="preserve">ki </w:t>
      </w:r>
      <w:r w:rsidR="006E2E87">
        <w:rPr>
          <w:sz w:val="20"/>
          <w:szCs w:val="20"/>
        </w:rPr>
        <w:t xml:space="preserve">her </w:t>
      </w:r>
      <w:r w:rsidR="00270847">
        <w:rPr>
          <w:sz w:val="20"/>
          <w:szCs w:val="20"/>
        </w:rPr>
        <w:t xml:space="preserve">beş </w:t>
      </w:r>
      <w:r w:rsidR="006E2E87">
        <w:rPr>
          <w:sz w:val="20"/>
          <w:szCs w:val="20"/>
        </w:rPr>
        <w:t xml:space="preserve">gençten biri işsizdir. </w:t>
      </w:r>
      <w:r w:rsidR="009163F7" w:rsidRPr="00A2212E">
        <w:rPr>
          <w:b/>
          <w:sz w:val="20"/>
          <w:szCs w:val="20"/>
        </w:rPr>
        <w:t>2017 yılında n</w:t>
      </w:r>
      <w:r w:rsidR="00D40609" w:rsidRPr="00A2212E">
        <w:rPr>
          <w:b/>
          <w:sz w:val="20"/>
          <w:szCs w:val="20"/>
        </w:rPr>
        <w:t>e eğitimde ne istihdamda olan</w:t>
      </w:r>
      <w:r w:rsidR="001734FD" w:rsidRPr="00A2212E">
        <w:rPr>
          <w:b/>
          <w:sz w:val="20"/>
          <w:szCs w:val="20"/>
        </w:rPr>
        <w:t xml:space="preserve"> gençlerin</w:t>
      </w:r>
      <w:r w:rsidR="00D40609" w:rsidRPr="00A2212E">
        <w:rPr>
          <w:b/>
          <w:sz w:val="20"/>
          <w:szCs w:val="20"/>
        </w:rPr>
        <w:t xml:space="preserve"> </w:t>
      </w:r>
      <w:r w:rsidR="008D3C24" w:rsidRPr="00A2212E">
        <w:rPr>
          <w:b/>
          <w:sz w:val="20"/>
          <w:szCs w:val="20"/>
        </w:rPr>
        <w:t xml:space="preserve">işsizlik </w:t>
      </w:r>
      <w:r w:rsidR="00D40609" w:rsidRPr="00A2212E">
        <w:rPr>
          <w:b/>
          <w:sz w:val="20"/>
          <w:szCs w:val="20"/>
        </w:rPr>
        <w:t xml:space="preserve">oranı % </w:t>
      </w:r>
      <w:r w:rsidR="009163F7" w:rsidRPr="00A2212E">
        <w:rPr>
          <w:b/>
          <w:sz w:val="20"/>
          <w:szCs w:val="20"/>
        </w:rPr>
        <w:t>24.2</w:t>
      </w:r>
      <w:r w:rsidR="000F0D67" w:rsidRPr="00A2212E">
        <w:rPr>
          <w:b/>
          <w:sz w:val="20"/>
          <w:szCs w:val="20"/>
        </w:rPr>
        <w:t xml:space="preserve"> olmuştur.</w:t>
      </w:r>
    </w:p>
    <w:p w:rsidR="00072357" w:rsidRPr="00A2212E" w:rsidRDefault="00072357" w:rsidP="00072357">
      <w:pPr>
        <w:pStyle w:val="ListeParagraf"/>
        <w:tabs>
          <w:tab w:val="left" w:pos="284"/>
        </w:tabs>
        <w:spacing w:after="200" w:line="360" w:lineRule="auto"/>
        <w:ind w:left="0"/>
        <w:jc w:val="both"/>
        <w:rPr>
          <w:b/>
          <w:sz w:val="20"/>
          <w:szCs w:val="20"/>
        </w:rPr>
      </w:pPr>
    </w:p>
    <w:p w:rsidR="0039311D" w:rsidRPr="00C34A8D" w:rsidRDefault="00072357" w:rsidP="00223928">
      <w:pPr>
        <w:pStyle w:val="ListeParagraf"/>
        <w:numPr>
          <w:ilvl w:val="0"/>
          <w:numId w:val="1"/>
        </w:numPr>
        <w:tabs>
          <w:tab w:val="left" w:pos="284"/>
        </w:tabs>
        <w:spacing w:line="360" w:lineRule="auto"/>
        <w:ind w:left="0" w:firstLine="0"/>
        <w:jc w:val="both"/>
        <w:rPr>
          <w:b/>
          <w:sz w:val="20"/>
          <w:szCs w:val="20"/>
        </w:rPr>
      </w:pPr>
      <w:r w:rsidRPr="007C0BD4">
        <w:rPr>
          <w:b/>
          <w:sz w:val="20"/>
          <w:szCs w:val="20"/>
        </w:rPr>
        <w:t xml:space="preserve">Enflasyon (TÜFE). </w:t>
      </w:r>
      <w:r w:rsidR="00851EF6" w:rsidRPr="00500FF9">
        <w:rPr>
          <w:b/>
          <w:sz w:val="20"/>
          <w:szCs w:val="20"/>
        </w:rPr>
        <w:t xml:space="preserve">2018 yılının </w:t>
      </w:r>
      <w:r w:rsidR="00280609">
        <w:rPr>
          <w:b/>
          <w:sz w:val="20"/>
          <w:szCs w:val="20"/>
        </w:rPr>
        <w:t>Mayıs</w:t>
      </w:r>
      <w:r w:rsidR="00851EF6" w:rsidRPr="00500FF9">
        <w:rPr>
          <w:b/>
          <w:sz w:val="20"/>
          <w:szCs w:val="20"/>
        </w:rPr>
        <w:t xml:space="preserve"> ayında</w:t>
      </w:r>
      <w:r w:rsidR="00B438A0" w:rsidRPr="00500FF9">
        <w:rPr>
          <w:b/>
          <w:sz w:val="20"/>
          <w:szCs w:val="20"/>
        </w:rPr>
        <w:t xml:space="preserve"> aylık enflasyon</w:t>
      </w:r>
      <w:r w:rsidRPr="00500FF9">
        <w:rPr>
          <w:b/>
          <w:sz w:val="20"/>
          <w:szCs w:val="20"/>
        </w:rPr>
        <w:t xml:space="preserve"> % </w:t>
      </w:r>
      <w:r w:rsidR="00824FB8">
        <w:rPr>
          <w:b/>
          <w:sz w:val="20"/>
          <w:szCs w:val="20"/>
        </w:rPr>
        <w:t>1.62</w:t>
      </w:r>
      <w:r w:rsidR="00C34A8D">
        <w:rPr>
          <w:b/>
          <w:sz w:val="20"/>
          <w:szCs w:val="20"/>
        </w:rPr>
        <w:t>,</w:t>
      </w:r>
      <w:r w:rsidR="00E445DB" w:rsidRPr="00500FF9">
        <w:rPr>
          <w:b/>
          <w:sz w:val="20"/>
          <w:szCs w:val="20"/>
        </w:rPr>
        <w:t xml:space="preserve"> </w:t>
      </w:r>
      <w:r w:rsidRPr="00500FF9">
        <w:rPr>
          <w:b/>
          <w:sz w:val="20"/>
          <w:szCs w:val="20"/>
        </w:rPr>
        <w:t>yıllık enflasyon</w:t>
      </w:r>
      <w:r w:rsidR="00B438A0" w:rsidRPr="00500FF9">
        <w:rPr>
          <w:b/>
          <w:sz w:val="20"/>
          <w:szCs w:val="20"/>
        </w:rPr>
        <w:t xml:space="preserve"> da % </w:t>
      </w:r>
      <w:r w:rsidR="00824FB8">
        <w:rPr>
          <w:b/>
          <w:sz w:val="20"/>
          <w:szCs w:val="20"/>
        </w:rPr>
        <w:t xml:space="preserve">12.15 </w:t>
      </w:r>
      <w:r w:rsidR="00B438A0" w:rsidRPr="00500FF9">
        <w:rPr>
          <w:b/>
          <w:sz w:val="20"/>
          <w:szCs w:val="20"/>
        </w:rPr>
        <w:t>olarak gerçekleşti.</w:t>
      </w:r>
      <w:r w:rsidRPr="00500FF9">
        <w:rPr>
          <w:b/>
          <w:sz w:val="20"/>
          <w:szCs w:val="20"/>
        </w:rPr>
        <w:t xml:space="preserve"> </w:t>
      </w:r>
      <w:r w:rsidR="00851EF6" w:rsidRPr="00500FF9">
        <w:rPr>
          <w:b/>
          <w:sz w:val="20"/>
          <w:szCs w:val="20"/>
        </w:rPr>
        <w:t xml:space="preserve">Senenin ilk </w:t>
      </w:r>
      <w:r w:rsidR="00280609">
        <w:rPr>
          <w:b/>
          <w:sz w:val="20"/>
          <w:szCs w:val="20"/>
        </w:rPr>
        <w:t>beş</w:t>
      </w:r>
      <w:r w:rsidR="00103F53" w:rsidRPr="00500FF9">
        <w:rPr>
          <w:b/>
          <w:sz w:val="20"/>
          <w:szCs w:val="20"/>
        </w:rPr>
        <w:t xml:space="preserve"> </w:t>
      </w:r>
      <w:r w:rsidR="00851EF6" w:rsidRPr="00500FF9">
        <w:rPr>
          <w:b/>
          <w:sz w:val="20"/>
          <w:szCs w:val="20"/>
        </w:rPr>
        <w:t xml:space="preserve">ayında enflasyon % </w:t>
      </w:r>
      <w:r w:rsidR="00824FB8">
        <w:rPr>
          <w:b/>
          <w:sz w:val="20"/>
          <w:szCs w:val="20"/>
        </w:rPr>
        <w:t xml:space="preserve">6.39 </w:t>
      </w:r>
      <w:r w:rsidR="00851EF6" w:rsidRPr="00500FF9">
        <w:rPr>
          <w:b/>
          <w:sz w:val="20"/>
          <w:szCs w:val="20"/>
        </w:rPr>
        <w:t>oldu.</w:t>
      </w:r>
      <w:r w:rsidR="00851EF6">
        <w:rPr>
          <w:sz w:val="20"/>
          <w:szCs w:val="20"/>
        </w:rPr>
        <w:t xml:space="preserve"> </w:t>
      </w:r>
      <w:r w:rsidR="00E445DB">
        <w:rPr>
          <w:sz w:val="20"/>
          <w:szCs w:val="20"/>
        </w:rPr>
        <w:t xml:space="preserve">Memur maaşlarına 2018 yılının 1. altı ayı için yapılan % </w:t>
      </w:r>
      <w:r w:rsidR="00A2212E">
        <w:rPr>
          <w:sz w:val="20"/>
          <w:szCs w:val="20"/>
        </w:rPr>
        <w:t>4</w:t>
      </w:r>
      <w:r w:rsidR="00E445DB">
        <w:rPr>
          <w:sz w:val="20"/>
          <w:szCs w:val="20"/>
        </w:rPr>
        <w:t>’l</w:t>
      </w:r>
      <w:r w:rsidR="00A2212E">
        <w:rPr>
          <w:sz w:val="20"/>
          <w:szCs w:val="20"/>
        </w:rPr>
        <w:t>ü</w:t>
      </w:r>
      <w:r w:rsidR="00E445DB">
        <w:rPr>
          <w:sz w:val="20"/>
          <w:szCs w:val="20"/>
        </w:rPr>
        <w:t>k maaş artışı daha 4. ayın sonunda aşıl</w:t>
      </w:r>
      <w:r w:rsidR="00280609">
        <w:rPr>
          <w:sz w:val="20"/>
          <w:szCs w:val="20"/>
        </w:rPr>
        <w:t xml:space="preserve">mıştı. </w:t>
      </w:r>
      <w:r w:rsidR="00824FB8" w:rsidRPr="000E67B4">
        <w:rPr>
          <w:b/>
          <w:sz w:val="20"/>
          <w:szCs w:val="20"/>
        </w:rPr>
        <w:t>Bu ay (Mayıs 2018) itibariyle memurlarımızın kaybı % 2.39</w:t>
      </w:r>
      <w:r w:rsidR="004344E9" w:rsidRPr="000E67B4">
        <w:rPr>
          <w:b/>
          <w:sz w:val="20"/>
          <w:szCs w:val="20"/>
        </w:rPr>
        <w:t>’e yükseldi.</w:t>
      </w:r>
      <w:r w:rsidR="004344E9">
        <w:rPr>
          <w:sz w:val="20"/>
          <w:szCs w:val="20"/>
        </w:rPr>
        <w:t xml:space="preserve"> </w:t>
      </w:r>
      <w:r w:rsidR="00824FB8">
        <w:rPr>
          <w:sz w:val="20"/>
          <w:szCs w:val="20"/>
        </w:rPr>
        <w:t xml:space="preserve">Haziran ayı da buna eklenirse memurlarımızın kaybı çok daha fazla olacak. </w:t>
      </w:r>
      <w:r w:rsidR="00E445DB">
        <w:rPr>
          <w:sz w:val="20"/>
          <w:szCs w:val="20"/>
        </w:rPr>
        <w:t xml:space="preserve">Memurlara enflasyon farkı Temmuz 2018’de verilecek. Bunun anlamı memur </w:t>
      </w:r>
      <w:r w:rsidR="0039311D">
        <w:rPr>
          <w:sz w:val="20"/>
          <w:szCs w:val="20"/>
        </w:rPr>
        <w:t xml:space="preserve">bir süre daha </w:t>
      </w:r>
      <w:r w:rsidR="00E445DB">
        <w:rPr>
          <w:sz w:val="20"/>
          <w:szCs w:val="20"/>
        </w:rPr>
        <w:t xml:space="preserve">cepten yiyecek. </w:t>
      </w:r>
      <w:r w:rsidR="00ED1977">
        <w:rPr>
          <w:sz w:val="20"/>
          <w:szCs w:val="20"/>
        </w:rPr>
        <w:t xml:space="preserve"> </w:t>
      </w:r>
      <w:r w:rsidR="00280609">
        <w:rPr>
          <w:sz w:val="20"/>
          <w:szCs w:val="20"/>
        </w:rPr>
        <w:t xml:space="preserve">Ramazan ayını idrak ediyoruz. Ramazan Bayramına </w:t>
      </w:r>
      <w:r w:rsidR="00C5471D">
        <w:rPr>
          <w:sz w:val="20"/>
          <w:szCs w:val="20"/>
        </w:rPr>
        <w:t xml:space="preserve">da </w:t>
      </w:r>
      <w:r w:rsidR="00280609">
        <w:rPr>
          <w:sz w:val="20"/>
          <w:szCs w:val="20"/>
        </w:rPr>
        <w:t xml:space="preserve">günler kaldı. </w:t>
      </w:r>
      <w:r w:rsidR="009163F7">
        <w:rPr>
          <w:sz w:val="20"/>
          <w:szCs w:val="20"/>
        </w:rPr>
        <w:t xml:space="preserve">Ramazanda </w:t>
      </w:r>
      <w:r w:rsidR="00280609">
        <w:rPr>
          <w:sz w:val="20"/>
          <w:szCs w:val="20"/>
        </w:rPr>
        <w:t xml:space="preserve">ve Bayramda </w:t>
      </w:r>
      <w:r w:rsidR="009163F7">
        <w:rPr>
          <w:sz w:val="20"/>
          <w:szCs w:val="20"/>
        </w:rPr>
        <w:t xml:space="preserve">genelde fiyatlar yükselir. </w:t>
      </w:r>
      <w:r w:rsidR="00280609">
        <w:rPr>
          <w:sz w:val="20"/>
          <w:szCs w:val="20"/>
        </w:rPr>
        <w:t>Bunun anlamı Haziran 2018’de de enflasyon yüksek</w:t>
      </w:r>
      <w:r w:rsidR="00C60A08">
        <w:rPr>
          <w:sz w:val="20"/>
          <w:szCs w:val="20"/>
        </w:rPr>
        <w:t xml:space="preserve"> olacak. </w:t>
      </w:r>
      <w:r w:rsidR="00260DEE">
        <w:rPr>
          <w:sz w:val="20"/>
          <w:szCs w:val="20"/>
        </w:rPr>
        <w:t>Enflasyondaki artış dar ve sabit gelirli insanlarımızı sıkıntıya sokmaktadır.</w:t>
      </w:r>
      <w:r w:rsidR="00330E4A">
        <w:rPr>
          <w:sz w:val="20"/>
          <w:szCs w:val="20"/>
        </w:rPr>
        <w:t xml:space="preserve"> Dar ve sabit gelirli insanlarımızdan özellikle emeklilerin durumu çok sıkıntılıdır. AK parti iktidarı 16. yılda bu insan</w:t>
      </w:r>
      <w:r w:rsidR="00F44F00">
        <w:rPr>
          <w:sz w:val="20"/>
          <w:szCs w:val="20"/>
        </w:rPr>
        <w:t>la</w:t>
      </w:r>
      <w:r w:rsidR="00330E4A">
        <w:rPr>
          <w:sz w:val="20"/>
          <w:szCs w:val="20"/>
        </w:rPr>
        <w:t xml:space="preserve">rımızın durumunu </w:t>
      </w:r>
      <w:r w:rsidR="0039311D">
        <w:rPr>
          <w:sz w:val="20"/>
          <w:szCs w:val="20"/>
        </w:rPr>
        <w:t>anla</w:t>
      </w:r>
      <w:r w:rsidR="00330E4A">
        <w:rPr>
          <w:sz w:val="20"/>
          <w:szCs w:val="20"/>
        </w:rPr>
        <w:t>mış olaca</w:t>
      </w:r>
      <w:r w:rsidR="00F44F00">
        <w:rPr>
          <w:sz w:val="20"/>
          <w:szCs w:val="20"/>
        </w:rPr>
        <w:t>k</w:t>
      </w:r>
      <w:r w:rsidR="00330E4A">
        <w:rPr>
          <w:sz w:val="20"/>
          <w:szCs w:val="20"/>
        </w:rPr>
        <w:t xml:space="preserve"> ki seçimlerin de etkisi ile </w:t>
      </w:r>
      <w:r w:rsidR="00F44F00">
        <w:rPr>
          <w:sz w:val="20"/>
          <w:szCs w:val="20"/>
        </w:rPr>
        <w:t>emeklilerimize dini bayramlarda 1000 TL ikramiye vermek üzere yasal düzenleme yaptı. Bu durum emeklilerimizin sıkıntılarının bir nebze</w:t>
      </w:r>
      <w:r w:rsidR="00C5471D">
        <w:rPr>
          <w:sz w:val="20"/>
          <w:szCs w:val="20"/>
        </w:rPr>
        <w:t xml:space="preserve"> </w:t>
      </w:r>
      <w:r w:rsidR="00F44F00">
        <w:rPr>
          <w:sz w:val="20"/>
          <w:szCs w:val="20"/>
        </w:rPr>
        <w:t>de ol</w:t>
      </w:r>
      <w:r w:rsidR="00C5471D">
        <w:rPr>
          <w:sz w:val="20"/>
          <w:szCs w:val="20"/>
        </w:rPr>
        <w:t>s</w:t>
      </w:r>
      <w:r w:rsidR="00F44F00">
        <w:rPr>
          <w:sz w:val="20"/>
          <w:szCs w:val="20"/>
        </w:rPr>
        <w:t xml:space="preserve">a azalması demektir. </w:t>
      </w:r>
      <w:r w:rsidR="006B2A2E" w:rsidRPr="00C34A8D">
        <w:rPr>
          <w:b/>
          <w:sz w:val="20"/>
          <w:szCs w:val="20"/>
        </w:rPr>
        <w:t>Saadet Partisi iktidarında emeklilerimiz ömürlerinin son baharında insan onuruna yaraşır bir hayat standardına kavuşacaklardır</w:t>
      </w:r>
      <w:r w:rsidR="004344E9" w:rsidRPr="00C34A8D">
        <w:rPr>
          <w:b/>
          <w:sz w:val="20"/>
          <w:szCs w:val="20"/>
        </w:rPr>
        <w:t xml:space="preserve"> inşaallah</w:t>
      </w:r>
      <w:r w:rsidR="006B2A2E" w:rsidRPr="00C34A8D">
        <w:rPr>
          <w:b/>
          <w:sz w:val="20"/>
          <w:szCs w:val="20"/>
        </w:rPr>
        <w:t xml:space="preserve">. </w:t>
      </w:r>
    </w:p>
    <w:p w:rsidR="00072357" w:rsidRDefault="0039311D" w:rsidP="00072357">
      <w:pPr>
        <w:pStyle w:val="ListeParagraf"/>
        <w:tabs>
          <w:tab w:val="left" w:pos="284"/>
        </w:tabs>
        <w:spacing w:line="360" w:lineRule="auto"/>
        <w:ind w:left="0"/>
        <w:jc w:val="both"/>
        <w:rPr>
          <w:sz w:val="20"/>
          <w:szCs w:val="20"/>
        </w:rPr>
      </w:pPr>
      <w:r>
        <w:rPr>
          <w:b/>
          <w:sz w:val="20"/>
          <w:szCs w:val="20"/>
        </w:rPr>
        <w:tab/>
      </w:r>
      <w:r w:rsidR="00072357" w:rsidRPr="007C0BD4">
        <w:rPr>
          <w:sz w:val="20"/>
          <w:szCs w:val="20"/>
        </w:rPr>
        <w:t>İktidar enflasyon konusundaki hedefini maalesef geçmiş yıllarda tutturamamıştı. Dileğimiz 2017 yılında</w:t>
      </w:r>
      <w:r w:rsidR="00072357">
        <w:rPr>
          <w:sz w:val="20"/>
          <w:szCs w:val="20"/>
        </w:rPr>
        <w:t xml:space="preserve"> </w:t>
      </w:r>
      <w:r w:rsidR="00072357" w:rsidRPr="007C0BD4">
        <w:rPr>
          <w:sz w:val="20"/>
          <w:szCs w:val="20"/>
        </w:rPr>
        <w:t>% 6.5 olarak belirlenen enfla</w:t>
      </w:r>
      <w:r w:rsidR="00895DCF">
        <w:rPr>
          <w:sz w:val="20"/>
          <w:szCs w:val="20"/>
        </w:rPr>
        <w:t xml:space="preserve">syon hedefinin tutturulabilmesi idi. </w:t>
      </w:r>
      <w:r w:rsidR="00072357">
        <w:rPr>
          <w:sz w:val="20"/>
          <w:szCs w:val="20"/>
        </w:rPr>
        <w:t xml:space="preserve">Ama </w:t>
      </w:r>
      <w:r w:rsidR="00895DCF">
        <w:rPr>
          <w:sz w:val="20"/>
          <w:szCs w:val="20"/>
        </w:rPr>
        <w:t xml:space="preserve">2017’de </w:t>
      </w:r>
      <w:r w:rsidR="00851EF6">
        <w:rPr>
          <w:sz w:val="20"/>
          <w:szCs w:val="20"/>
        </w:rPr>
        <w:t xml:space="preserve">yıllık </w:t>
      </w:r>
      <w:r w:rsidR="00895DCF">
        <w:rPr>
          <w:sz w:val="20"/>
          <w:szCs w:val="20"/>
        </w:rPr>
        <w:t>enflasyon</w:t>
      </w:r>
      <w:r w:rsidR="00851EF6">
        <w:rPr>
          <w:sz w:val="20"/>
          <w:szCs w:val="20"/>
        </w:rPr>
        <w:t xml:space="preserve"> % 11.92 oldu ve </w:t>
      </w:r>
      <w:r w:rsidR="00895DCF">
        <w:rPr>
          <w:sz w:val="20"/>
          <w:szCs w:val="20"/>
        </w:rPr>
        <w:t>hedef tutturulamadı</w:t>
      </w:r>
      <w:r w:rsidR="00851EF6">
        <w:rPr>
          <w:sz w:val="20"/>
          <w:szCs w:val="20"/>
        </w:rPr>
        <w:t>.</w:t>
      </w:r>
      <w:r w:rsidR="00895DCF">
        <w:rPr>
          <w:sz w:val="20"/>
          <w:szCs w:val="20"/>
        </w:rPr>
        <w:t xml:space="preserve"> </w:t>
      </w:r>
      <w:r w:rsidR="00776C66">
        <w:rPr>
          <w:b/>
          <w:sz w:val="20"/>
          <w:szCs w:val="20"/>
        </w:rPr>
        <w:tab/>
      </w:r>
      <w:r w:rsidR="00072357">
        <w:rPr>
          <w:sz w:val="20"/>
          <w:szCs w:val="20"/>
        </w:rPr>
        <w:t xml:space="preserve">İktidar tarafından 2017 </w:t>
      </w:r>
      <w:r w:rsidR="00FD5087">
        <w:rPr>
          <w:sz w:val="20"/>
          <w:szCs w:val="20"/>
        </w:rPr>
        <w:t>yılında</w:t>
      </w:r>
      <w:r w:rsidR="0073023F">
        <w:rPr>
          <w:sz w:val="20"/>
          <w:szCs w:val="20"/>
        </w:rPr>
        <w:t>ki</w:t>
      </w:r>
      <w:r w:rsidR="00FD5087">
        <w:rPr>
          <w:sz w:val="20"/>
          <w:szCs w:val="20"/>
        </w:rPr>
        <w:t xml:space="preserve"> % </w:t>
      </w:r>
      <w:r w:rsidR="0073023F">
        <w:rPr>
          <w:sz w:val="20"/>
          <w:szCs w:val="20"/>
        </w:rPr>
        <w:t>11.92</w:t>
      </w:r>
      <w:r w:rsidR="00FD5087">
        <w:rPr>
          <w:sz w:val="20"/>
          <w:szCs w:val="20"/>
        </w:rPr>
        <w:t xml:space="preserve"> olan </w:t>
      </w:r>
      <w:r w:rsidR="00072357">
        <w:rPr>
          <w:sz w:val="20"/>
          <w:szCs w:val="20"/>
        </w:rPr>
        <w:t xml:space="preserve">enflasyonun (TÜFE) 2018 yılında </w:t>
      </w:r>
      <w:r w:rsidR="00C34A8D">
        <w:rPr>
          <w:sz w:val="20"/>
          <w:szCs w:val="20"/>
        </w:rPr>
        <w:t xml:space="preserve">   </w:t>
      </w:r>
      <w:r w:rsidR="00072357">
        <w:rPr>
          <w:sz w:val="20"/>
          <w:szCs w:val="20"/>
        </w:rPr>
        <w:t>% 7’ye düşürülmesi programlan</w:t>
      </w:r>
      <w:r w:rsidR="00B1149B">
        <w:rPr>
          <w:sz w:val="20"/>
          <w:szCs w:val="20"/>
        </w:rPr>
        <w:t>mış</w:t>
      </w:r>
      <w:r w:rsidR="000E67B4">
        <w:rPr>
          <w:sz w:val="20"/>
          <w:szCs w:val="20"/>
        </w:rPr>
        <w:t>tır</w:t>
      </w:r>
      <w:r w:rsidR="00B1149B">
        <w:rPr>
          <w:sz w:val="20"/>
          <w:szCs w:val="20"/>
        </w:rPr>
        <w:t xml:space="preserve">. </w:t>
      </w:r>
      <w:r w:rsidR="00072357">
        <w:rPr>
          <w:sz w:val="20"/>
          <w:szCs w:val="20"/>
        </w:rPr>
        <w:t xml:space="preserve">Bize göre bu hesabın gerçekleşmesi çok zor…! </w:t>
      </w:r>
      <w:r w:rsidR="002A00F8">
        <w:rPr>
          <w:sz w:val="20"/>
          <w:szCs w:val="20"/>
        </w:rPr>
        <w:t xml:space="preserve">Hele 24 Haziran 2018’de erken genel seçim ve Cumhurbaşkanlığı seçiminin yapılacağı dikkate alınırsa bu hesabın gerçekleşmesi çok daha zor olacaktır. Zira </w:t>
      </w:r>
      <w:r w:rsidR="001F1C7B">
        <w:rPr>
          <w:sz w:val="20"/>
          <w:szCs w:val="20"/>
        </w:rPr>
        <w:t>popülist politikaları uygulamayı seven AK Parti iktidarı seçim ekonomisi uygula</w:t>
      </w:r>
      <w:r w:rsidR="006108E5">
        <w:rPr>
          <w:sz w:val="20"/>
          <w:szCs w:val="20"/>
        </w:rPr>
        <w:t xml:space="preserve">maktadır. </w:t>
      </w:r>
      <w:r w:rsidR="001F1C7B">
        <w:rPr>
          <w:sz w:val="20"/>
          <w:szCs w:val="20"/>
        </w:rPr>
        <w:t>Bu da</w:t>
      </w:r>
      <w:r w:rsidR="00717F43">
        <w:rPr>
          <w:sz w:val="20"/>
          <w:szCs w:val="20"/>
        </w:rPr>
        <w:t xml:space="preserve"> zaten bozuk olan</w:t>
      </w:r>
      <w:r w:rsidR="001F1C7B">
        <w:rPr>
          <w:sz w:val="20"/>
          <w:szCs w:val="20"/>
        </w:rPr>
        <w:t xml:space="preserve"> ekonomik dengeleri daha da bozacaktır. </w:t>
      </w:r>
      <w:r w:rsidR="0073023F">
        <w:rPr>
          <w:sz w:val="20"/>
          <w:szCs w:val="20"/>
        </w:rPr>
        <w:t xml:space="preserve">Ama bekleyip göreceğiz. </w:t>
      </w:r>
      <w:r w:rsidR="00072357">
        <w:rPr>
          <w:sz w:val="20"/>
          <w:szCs w:val="20"/>
        </w:rPr>
        <w:t xml:space="preserve">AK Parti iktidarı ekonomide verdiği her sözü revize ediyor. </w:t>
      </w:r>
      <w:r w:rsidR="003C1216">
        <w:rPr>
          <w:sz w:val="20"/>
          <w:szCs w:val="20"/>
        </w:rPr>
        <w:t>İ</w:t>
      </w:r>
      <w:r w:rsidR="00072357">
        <w:rPr>
          <w:sz w:val="20"/>
          <w:szCs w:val="20"/>
        </w:rPr>
        <w:t>nşa</w:t>
      </w:r>
      <w:r w:rsidR="003C1216">
        <w:rPr>
          <w:sz w:val="20"/>
          <w:szCs w:val="20"/>
        </w:rPr>
        <w:t>a</w:t>
      </w:r>
      <w:r w:rsidR="00072357">
        <w:rPr>
          <w:sz w:val="20"/>
          <w:szCs w:val="20"/>
        </w:rPr>
        <w:t>llah bu defa 2018 yılı için verdiği % 7’lik enflasyon hede</w:t>
      </w:r>
      <w:r w:rsidR="00E977B6">
        <w:rPr>
          <w:sz w:val="20"/>
          <w:szCs w:val="20"/>
        </w:rPr>
        <w:t xml:space="preserve">fini tutturabilir, revize etmez diyoruz. Temennimiz bu. Ama </w:t>
      </w:r>
      <w:r w:rsidR="00AB4AB6">
        <w:rPr>
          <w:sz w:val="20"/>
          <w:szCs w:val="20"/>
        </w:rPr>
        <w:t xml:space="preserve">bu şartlarda </w:t>
      </w:r>
      <w:r w:rsidR="00E977B6">
        <w:rPr>
          <w:sz w:val="20"/>
          <w:szCs w:val="20"/>
        </w:rPr>
        <w:t xml:space="preserve">bizim temennimizin </w:t>
      </w:r>
      <w:r w:rsidR="00103F53">
        <w:rPr>
          <w:sz w:val="20"/>
          <w:szCs w:val="20"/>
        </w:rPr>
        <w:t>olması da</w:t>
      </w:r>
      <w:r w:rsidR="00E977B6">
        <w:rPr>
          <w:sz w:val="20"/>
          <w:szCs w:val="20"/>
        </w:rPr>
        <w:t xml:space="preserve"> iktidarın hedefi tutturabilmesi de çok zor. Zira Akaryakıta sürekli zam geliyor. </w:t>
      </w:r>
      <w:r w:rsidR="006108E5">
        <w:rPr>
          <w:sz w:val="20"/>
          <w:szCs w:val="20"/>
        </w:rPr>
        <w:t xml:space="preserve">Seçimler dolayısı ile AK Parti iktidarı bu zamları </w:t>
      </w:r>
      <w:r w:rsidR="006B2A2E">
        <w:rPr>
          <w:sz w:val="20"/>
          <w:szCs w:val="20"/>
        </w:rPr>
        <w:t xml:space="preserve">vatandaşa yansıtmıyor, </w:t>
      </w:r>
      <w:r w:rsidR="006108E5">
        <w:rPr>
          <w:sz w:val="20"/>
          <w:szCs w:val="20"/>
        </w:rPr>
        <w:t xml:space="preserve">ÖTV ile karşılıyor. Ancak hiç unutulmamalıdır ki bu durum bütçe gelirlerinin azalmasına sebep olacaktır. Bütçe gelirlerinin azalması da zaten fazla olan bütçe açığının daha da artması demektir. </w:t>
      </w:r>
      <w:r w:rsidR="00E977B6">
        <w:rPr>
          <w:sz w:val="20"/>
          <w:szCs w:val="20"/>
        </w:rPr>
        <w:t xml:space="preserve">Döviz fiyatları artıyor. Elektriğe sürekli zam geliyor. </w:t>
      </w:r>
      <w:r w:rsidR="009B00EE">
        <w:rPr>
          <w:sz w:val="20"/>
          <w:szCs w:val="20"/>
        </w:rPr>
        <w:t>Canlı hayvan, et, buğday</w:t>
      </w:r>
      <w:r w:rsidR="00E445DB">
        <w:rPr>
          <w:sz w:val="20"/>
          <w:szCs w:val="20"/>
        </w:rPr>
        <w:t xml:space="preserve"> ( 2017’de 5 milyon ton</w:t>
      </w:r>
      <w:r w:rsidR="00EA1801">
        <w:rPr>
          <w:sz w:val="20"/>
          <w:szCs w:val="20"/>
        </w:rPr>
        <w:t>,</w:t>
      </w:r>
      <w:r w:rsidR="00E445DB">
        <w:rPr>
          <w:sz w:val="20"/>
          <w:szCs w:val="20"/>
        </w:rPr>
        <w:t xml:space="preserve"> 2018 yılının </w:t>
      </w:r>
      <w:r w:rsidR="00A2212E">
        <w:rPr>
          <w:sz w:val="20"/>
          <w:szCs w:val="20"/>
        </w:rPr>
        <w:t>ilk üç</w:t>
      </w:r>
      <w:r w:rsidR="00E445DB">
        <w:rPr>
          <w:sz w:val="20"/>
          <w:szCs w:val="20"/>
        </w:rPr>
        <w:t xml:space="preserve"> ayında da yaklaşık 2 milyon ton buğday ithal edildi), </w:t>
      </w:r>
      <w:r w:rsidR="009B00EE">
        <w:rPr>
          <w:sz w:val="20"/>
          <w:szCs w:val="20"/>
        </w:rPr>
        <w:t>kuru fasulye, nohut, mercimek gibi g</w:t>
      </w:r>
      <w:r w:rsidR="00E977B6">
        <w:rPr>
          <w:sz w:val="20"/>
          <w:szCs w:val="20"/>
        </w:rPr>
        <w:t xml:space="preserve">ıda maddelerinin birçoğu </w:t>
      </w:r>
      <w:r w:rsidR="00513535">
        <w:rPr>
          <w:sz w:val="20"/>
          <w:szCs w:val="20"/>
        </w:rPr>
        <w:t>ithal edil</w:t>
      </w:r>
      <w:r w:rsidR="00EA1801">
        <w:rPr>
          <w:sz w:val="20"/>
          <w:szCs w:val="20"/>
        </w:rPr>
        <w:t>diği gibi</w:t>
      </w:r>
      <w:r w:rsidR="006B2A2E">
        <w:rPr>
          <w:sz w:val="20"/>
          <w:szCs w:val="20"/>
        </w:rPr>
        <w:t>,</w:t>
      </w:r>
      <w:r w:rsidR="00EA1801">
        <w:rPr>
          <w:sz w:val="20"/>
          <w:szCs w:val="20"/>
        </w:rPr>
        <w:t xml:space="preserve"> </w:t>
      </w:r>
      <w:r w:rsidR="00EA1801" w:rsidRPr="000E67B4">
        <w:rPr>
          <w:b/>
          <w:sz w:val="20"/>
          <w:szCs w:val="20"/>
        </w:rPr>
        <w:t>hayvan yemi olarak soya ve SAMAN’da ithal ediliyor</w:t>
      </w:r>
      <w:r w:rsidR="00960874" w:rsidRPr="000E67B4">
        <w:rPr>
          <w:b/>
          <w:sz w:val="20"/>
          <w:szCs w:val="20"/>
        </w:rPr>
        <w:t>.</w:t>
      </w:r>
      <w:r w:rsidR="00960874">
        <w:rPr>
          <w:sz w:val="20"/>
          <w:szCs w:val="20"/>
        </w:rPr>
        <w:t xml:space="preserve"> Döviz fiyatlarındaki artışa paralel olarak bu ithal</w:t>
      </w:r>
      <w:r w:rsidR="00EA1801">
        <w:rPr>
          <w:sz w:val="20"/>
          <w:szCs w:val="20"/>
        </w:rPr>
        <w:t xml:space="preserve"> malların </w:t>
      </w:r>
      <w:r w:rsidR="00513535">
        <w:rPr>
          <w:sz w:val="20"/>
          <w:szCs w:val="20"/>
        </w:rPr>
        <w:t xml:space="preserve">fiyatları </w:t>
      </w:r>
      <w:r w:rsidR="009B00EE">
        <w:rPr>
          <w:sz w:val="20"/>
          <w:szCs w:val="20"/>
        </w:rPr>
        <w:t xml:space="preserve">sürekli </w:t>
      </w:r>
      <w:r w:rsidR="00513535">
        <w:rPr>
          <w:sz w:val="20"/>
          <w:szCs w:val="20"/>
        </w:rPr>
        <w:t>yükseliyor.</w:t>
      </w:r>
    </w:p>
    <w:p w:rsidR="00095317" w:rsidRDefault="00072357" w:rsidP="00072357">
      <w:pPr>
        <w:pStyle w:val="ListeParagraf"/>
        <w:tabs>
          <w:tab w:val="left" w:pos="284"/>
        </w:tabs>
        <w:spacing w:line="360" w:lineRule="auto"/>
        <w:ind w:left="0"/>
        <w:jc w:val="both"/>
        <w:rPr>
          <w:sz w:val="20"/>
          <w:szCs w:val="20"/>
        </w:rPr>
      </w:pPr>
      <w:r>
        <w:rPr>
          <w:sz w:val="20"/>
          <w:szCs w:val="20"/>
        </w:rPr>
        <w:tab/>
      </w:r>
      <w:r w:rsidR="008A2DE2">
        <w:rPr>
          <w:sz w:val="20"/>
          <w:szCs w:val="20"/>
        </w:rPr>
        <w:t>Enflasyondan bahsederken sabit ve dar gelirli yurttaşların durumu özel bir öneme sahiptir. Özellikle asgari ücretlilerin durumu</w:t>
      </w:r>
      <w:r w:rsidR="001D68AC">
        <w:rPr>
          <w:sz w:val="20"/>
          <w:szCs w:val="20"/>
        </w:rPr>
        <w:t xml:space="preserve"> çok sıkıntılı</w:t>
      </w:r>
      <w:r w:rsidR="008A2DE2">
        <w:rPr>
          <w:sz w:val="20"/>
          <w:szCs w:val="20"/>
        </w:rPr>
        <w:t xml:space="preserve">. Bilindiği üzere 2017 yılında 1.500 TL olan asgari ücret 2018 yılında 1.603 TL’ye yükseltildi. 2018 yılı </w:t>
      </w:r>
      <w:r w:rsidR="0059264A">
        <w:rPr>
          <w:sz w:val="20"/>
          <w:szCs w:val="20"/>
        </w:rPr>
        <w:t>Mayıs</w:t>
      </w:r>
      <w:r w:rsidR="008A2DE2">
        <w:rPr>
          <w:sz w:val="20"/>
          <w:szCs w:val="20"/>
        </w:rPr>
        <w:t xml:space="preserve"> ayında </w:t>
      </w:r>
      <w:r w:rsidR="000B3EDD">
        <w:rPr>
          <w:sz w:val="20"/>
          <w:szCs w:val="20"/>
        </w:rPr>
        <w:t xml:space="preserve">MEMUR-SEN’in </w:t>
      </w:r>
      <w:r w:rsidR="000E67B4">
        <w:rPr>
          <w:sz w:val="20"/>
          <w:szCs w:val="20"/>
        </w:rPr>
        <w:t xml:space="preserve">4 kişilik bir aile için </w:t>
      </w:r>
      <w:r w:rsidR="000B3EDD">
        <w:rPr>
          <w:sz w:val="20"/>
          <w:szCs w:val="20"/>
        </w:rPr>
        <w:t xml:space="preserve">açıkladığı </w:t>
      </w:r>
      <w:r w:rsidR="0059264A">
        <w:rPr>
          <w:sz w:val="20"/>
          <w:szCs w:val="20"/>
        </w:rPr>
        <w:t>Nisan</w:t>
      </w:r>
      <w:r w:rsidR="000B3EDD">
        <w:rPr>
          <w:sz w:val="20"/>
          <w:szCs w:val="20"/>
        </w:rPr>
        <w:t xml:space="preserve"> ayına ait açlık sınırı 1.8</w:t>
      </w:r>
      <w:r w:rsidR="0059264A">
        <w:rPr>
          <w:sz w:val="20"/>
          <w:szCs w:val="20"/>
        </w:rPr>
        <w:t>65</w:t>
      </w:r>
      <w:r w:rsidR="000B3EDD">
        <w:rPr>
          <w:sz w:val="20"/>
          <w:szCs w:val="20"/>
        </w:rPr>
        <w:t xml:space="preserve"> TL, </w:t>
      </w:r>
      <w:r w:rsidR="00095317">
        <w:rPr>
          <w:sz w:val="20"/>
          <w:szCs w:val="20"/>
        </w:rPr>
        <w:t>TÜRK-İŞ</w:t>
      </w:r>
      <w:r w:rsidR="008A2DE2">
        <w:rPr>
          <w:sz w:val="20"/>
          <w:szCs w:val="20"/>
        </w:rPr>
        <w:t xml:space="preserve">’in </w:t>
      </w:r>
      <w:r w:rsidR="000E67B4">
        <w:rPr>
          <w:sz w:val="20"/>
          <w:szCs w:val="20"/>
        </w:rPr>
        <w:t xml:space="preserve">4 kişilik bir aile için </w:t>
      </w:r>
      <w:r w:rsidR="0059264A">
        <w:rPr>
          <w:sz w:val="20"/>
          <w:szCs w:val="20"/>
        </w:rPr>
        <w:t xml:space="preserve">Mayıs </w:t>
      </w:r>
      <w:r w:rsidR="00505E38">
        <w:rPr>
          <w:sz w:val="20"/>
          <w:szCs w:val="20"/>
        </w:rPr>
        <w:t xml:space="preserve">ayına ait </w:t>
      </w:r>
      <w:r w:rsidR="008A2DE2">
        <w:rPr>
          <w:sz w:val="20"/>
          <w:szCs w:val="20"/>
        </w:rPr>
        <w:t>açıkladığı açlık sınırı</w:t>
      </w:r>
      <w:r w:rsidR="000E67B4">
        <w:rPr>
          <w:sz w:val="20"/>
          <w:szCs w:val="20"/>
        </w:rPr>
        <w:t>,</w:t>
      </w:r>
      <w:r w:rsidR="008A2DE2">
        <w:rPr>
          <w:sz w:val="20"/>
          <w:szCs w:val="20"/>
        </w:rPr>
        <w:t xml:space="preserve"> 1.</w:t>
      </w:r>
      <w:r w:rsidR="00095317">
        <w:rPr>
          <w:sz w:val="20"/>
          <w:szCs w:val="20"/>
        </w:rPr>
        <w:t>68</w:t>
      </w:r>
      <w:r w:rsidR="0059264A">
        <w:rPr>
          <w:sz w:val="20"/>
          <w:szCs w:val="20"/>
        </w:rPr>
        <w:t>6</w:t>
      </w:r>
      <w:r w:rsidR="008A2DE2">
        <w:rPr>
          <w:sz w:val="20"/>
          <w:szCs w:val="20"/>
        </w:rPr>
        <w:t xml:space="preserve"> TL’dir. Evet</w:t>
      </w:r>
      <w:r w:rsidR="00095317">
        <w:rPr>
          <w:sz w:val="20"/>
          <w:szCs w:val="20"/>
        </w:rPr>
        <w:t>,</w:t>
      </w:r>
      <w:r w:rsidR="008A2DE2">
        <w:rPr>
          <w:sz w:val="20"/>
          <w:szCs w:val="20"/>
        </w:rPr>
        <w:t xml:space="preserve"> </w:t>
      </w:r>
      <w:r w:rsidR="00095317">
        <w:rPr>
          <w:sz w:val="20"/>
          <w:szCs w:val="20"/>
        </w:rPr>
        <w:t xml:space="preserve">sadece mutfak masraflarından oluşan </w:t>
      </w:r>
      <w:r w:rsidR="008A2DE2">
        <w:rPr>
          <w:sz w:val="20"/>
          <w:szCs w:val="20"/>
        </w:rPr>
        <w:t xml:space="preserve">açlık sınırının </w:t>
      </w:r>
      <w:r w:rsidR="00095317">
        <w:rPr>
          <w:sz w:val="20"/>
          <w:szCs w:val="20"/>
        </w:rPr>
        <w:t>1.68</w:t>
      </w:r>
      <w:r w:rsidR="0059264A">
        <w:rPr>
          <w:sz w:val="20"/>
          <w:szCs w:val="20"/>
        </w:rPr>
        <w:t>6</w:t>
      </w:r>
      <w:r w:rsidR="00095317">
        <w:rPr>
          <w:sz w:val="20"/>
          <w:szCs w:val="20"/>
        </w:rPr>
        <w:t xml:space="preserve"> TL</w:t>
      </w:r>
      <w:r w:rsidR="008A2DE2">
        <w:rPr>
          <w:sz w:val="20"/>
          <w:szCs w:val="20"/>
        </w:rPr>
        <w:t xml:space="preserve"> olduğu ülkemizde asgari ücret 1.603 TL. </w:t>
      </w:r>
      <w:r w:rsidR="008A2DE2" w:rsidRPr="000B3EDD">
        <w:rPr>
          <w:b/>
          <w:sz w:val="20"/>
          <w:szCs w:val="20"/>
        </w:rPr>
        <w:t xml:space="preserve">Biz Saadet Partisi olarak iktidara geldiğimizde asgari ücrete % 50 zam </w:t>
      </w:r>
      <w:r w:rsidR="000D50AD" w:rsidRPr="000B3EDD">
        <w:rPr>
          <w:b/>
          <w:sz w:val="20"/>
          <w:szCs w:val="20"/>
        </w:rPr>
        <w:t xml:space="preserve">yapacağız ve asgari ücretten vergi almayacağız. </w:t>
      </w:r>
      <w:r w:rsidR="00095317" w:rsidRPr="000B3EDD">
        <w:rPr>
          <w:b/>
          <w:sz w:val="20"/>
          <w:szCs w:val="20"/>
        </w:rPr>
        <w:t>Bunun anlamı bir asgari ücretlinin eline aylık 2.600-2</w:t>
      </w:r>
      <w:r w:rsidR="00DE05DD">
        <w:rPr>
          <w:b/>
          <w:sz w:val="20"/>
          <w:szCs w:val="20"/>
        </w:rPr>
        <w:t>.</w:t>
      </w:r>
      <w:r w:rsidR="00095317" w:rsidRPr="000B3EDD">
        <w:rPr>
          <w:b/>
          <w:sz w:val="20"/>
          <w:szCs w:val="20"/>
        </w:rPr>
        <w:t xml:space="preserve">700 TL para </w:t>
      </w:r>
      <w:r w:rsidR="00095317" w:rsidRPr="000B3EDD">
        <w:rPr>
          <w:b/>
          <w:sz w:val="20"/>
          <w:szCs w:val="20"/>
        </w:rPr>
        <w:lastRenderedPageBreak/>
        <w:t xml:space="preserve">geçecek. </w:t>
      </w:r>
      <w:r w:rsidR="00D914ED">
        <w:rPr>
          <w:sz w:val="20"/>
          <w:szCs w:val="20"/>
        </w:rPr>
        <w:t xml:space="preserve">Bu durum asgari ücretle geçinen insanlarımızın </w:t>
      </w:r>
      <w:r w:rsidR="000B3EDD">
        <w:rPr>
          <w:sz w:val="20"/>
          <w:szCs w:val="20"/>
        </w:rPr>
        <w:t xml:space="preserve">sıkıntılarının </w:t>
      </w:r>
      <w:r w:rsidR="008E2E42">
        <w:rPr>
          <w:sz w:val="20"/>
          <w:szCs w:val="20"/>
        </w:rPr>
        <w:t xml:space="preserve">az da olsa </w:t>
      </w:r>
      <w:r w:rsidR="000B3EDD">
        <w:rPr>
          <w:sz w:val="20"/>
          <w:szCs w:val="20"/>
        </w:rPr>
        <w:t>hafiflemesini sağlayaca</w:t>
      </w:r>
      <w:r w:rsidR="00D914ED">
        <w:rPr>
          <w:sz w:val="20"/>
          <w:szCs w:val="20"/>
        </w:rPr>
        <w:t xml:space="preserve">ktır. </w:t>
      </w:r>
    </w:p>
    <w:p w:rsidR="0039311D" w:rsidRPr="00C34A8D" w:rsidRDefault="0039311D" w:rsidP="00072357">
      <w:pPr>
        <w:pStyle w:val="ListeParagraf"/>
        <w:tabs>
          <w:tab w:val="left" w:pos="284"/>
        </w:tabs>
        <w:spacing w:line="360" w:lineRule="auto"/>
        <w:ind w:left="0"/>
        <w:jc w:val="both"/>
        <w:rPr>
          <w:b/>
          <w:sz w:val="20"/>
          <w:szCs w:val="20"/>
        </w:rPr>
      </w:pPr>
      <w:r>
        <w:rPr>
          <w:sz w:val="20"/>
          <w:szCs w:val="20"/>
        </w:rPr>
        <w:tab/>
        <w:t xml:space="preserve">Yine çiftçilerimiz de AK Parti iktidarında perişan haldedir. </w:t>
      </w:r>
      <w:r w:rsidR="00BC1E4E">
        <w:rPr>
          <w:sz w:val="20"/>
          <w:szCs w:val="20"/>
        </w:rPr>
        <w:t>Çiftçilerimizin üretimde kullandığı girdilerin fiyatları kendilerinin kontrolü dışında teşekkül et</w:t>
      </w:r>
      <w:r w:rsidR="000E67B4">
        <w:rPr>
          <w:sz w:val="20"/>
          <w:szCs w:val="20"/>
        </w:rPr>
        <w:t>mektedir ve</w:t>
      </w:r>
      <w:r w:rsidR="00BC1E4E">
        <w:rPr>
          <w:sz w:val="20"/>
          <w:szCs w:val="20"/>
        </w:rPr>
        <w:t xml:space="preserve"> oldukça yüksektir. Ürünlerin satışı sırasındaki fiyatlar</w:t>
      </w:r>
      <w:r w:rsidR="00F70519">
        <w:rPr>
          <w:sz w:val="20"/>
          <w:szCs w:val="20"/>
        </w:rPr>
        <w:t xml:space="preserve"> </w:t>
      </w:r>
      <w:r w:rsidR="00BC1E4E">
        <w:rPr>
          <w:sz w:val="20"/>
          <w:szCs w:val="20"/>
        </w:rPr>
        <w:t xml:space="preserve">da çiftçinin kontrolü dışında </w:t>
      </w:r>
      <w:r w:rsidR="001D68AC">
        <w:rPr>
          <w:sz w:val="20"/>
          <w:szCs w:val="20"/>
        </w:rPr>
        <w:t>serbest piyasa şartlarında oluşmaktadır.</w:t>
      </w:r>
      <w:r w:rsidR="00BC1E4E">
        <w:rPr>
          <w:sz w:val="20"/>
          <w:szCs w:val="20"/>
        </w:rPr>
        <w:t xml:space="preserve"> Devlet, fiyatları düşük belirleyince serbest piyasada fiyat düşük olmakta ve çiftçiler sıkıntıya girmektedirler. Bunun en güzel örneğini </w:t>
      </w:r>
      <w:r w:rsidR="00F70519">
        <w:rPr>
          <w:sz w:val="20"/>
          <w:szCs w:val="20"/>
        </w:rPr>
        <w:t xml:space="preserve">Buğday üretiminde görmekteyiz. Buğday üretiminde kullanılan girdilerin mazot, gübre, tohumluk, ilaç ve enerji gibi girdilerin fiyatlarındaki </w:t>
      </w:r>
      <w:r w:rsidR="004C441B">
        <w:rPr>
          <w:sz w:val="20"/>
          <w:szCs w:val="20"/>
        </w:rPr>
        <w:t xml:space="preserve">yıllık </w:t>
      </w:r>
      <w:r w:rsidR="00F70519">
        <w:rPr>
          <w:sz w:val="20"/>
          <w:szCs w:val="20"/>
        </w:rPr>
        <w:t xml:space="preserve">artış % 20’nin üzerindedir. Buğday fiyatları TMO’nin açıkladığı </w:t>
      </w:r>
      <w:r w:rsidR="004C441B">
        <w:rPr>
          <w:sz w:val="20"/>
          <w:szCs w:val="20"/>
        </w:rPr>
        <w:t xml:space="preserve">fiyat çerçevesinde oluşmaktadır. </w:t>
      </w:r>
      <w:r w:rsidR="000E67B4">
        <w:rPr>
          <w:sz w:val="20"/>
          <w:szCs w:val="20"/>
        </w:rPr>
        <w:t xml:space="preserve">TMO </w:t>
      </w:r>
      <w:r w:rsidR="00F70519">
        <w:rPr>
          <w:sz w:val="20"/>
          <w:szCs w:val="20"/>
        </w:rPr>
        <w:t xml:space="preserve">2018 yılı </w:t>
      </w:r>
      <w:r w:rsidR="000E67B4">
        <w:rPr>
          <w:sz w:val="20"/>
          <w:szCs w:val="20"/>
        </w:rPr>
        <w:t xml:space="preserve">Anadolu Kırmızı sert ekmeklik </w:t>
      </w:r>
      <w:r w:rsidR="00F70519">
        <w:rPr>
          <w:sz w:val="20"/>
          <w:szCs w:val="20"/>
        </w:rPr>
        <w:t>Buğday alım fiyatı</w:t>
      </w:r>
      <w:r w:rsidR="004C441B">
        <w:rPr>
          <w:sz w:val="20"/>
          <w:szCs w:val="20"/>
        </w:rPr>
        <w:t>nı</w:t>
      </w:r>
      <w:r w:rsidR="00F70519">
        <w:rPr>
          <w:sz w:val="20"/>
          <w:szCs w:val="20"/>
        </w:rPr>
        <w:t xml:space="preserve"> 105 kuruş/kg</w:t>
      </w:r>
      <w:r w:rsidR="004C441B">
        <w:rPr>
          <w:sz w:val="20"/>
          <w:szCs w:val="20"/>
        </w:rPr>
        <w:t xml:space="preserve"> olarak açıkladı. </w:t>
      </w:r>
      <w:r w:rsidR="00F70519">
        <w:rPr>
          <w:sz w:val="20"/>
          <w:szCs w:val="20"/>
        </w:rPr>
        <w:t xml:space="preserve">2017’de 94 kuruş/kg olan Anadolu Kırmızı Sert ekmeklik buğday fiyatı </w:t>
      </w:r>
      <w:r w:rsidR="004C441B">
        <w:rPr>
          <w:sz w:val="20"/>
          <w:szCs w:val="20"/>
        </w:rPr>
        <w:t xml:space="preserve">2018 yılında </w:t>
      </w:r>
      <w:r w:rsidR="00F70519">
        <w:rPr>
          <w:sz w:val="20"/>
          <w:szCs w:val="20"/>
        </w:rPr>
        <w:t>105 kuruş/kg’a yükseltil</w:t>
      </w:r>
      <w:r w:rsidR="004C441B">
        <w:rPr>
          <w:sz w:val="20"/>
          <w:szCs w:val="20"/>
        </w:rPr>
        <w:t xml:space="preserve">di. </w:t>
      </w:r>
      <w:r w:rsidR="00F70519">
        <w:rPr>
          <w:sz w:val="20"/>
          <w:szCs w:val="20"/>
        </w:rPr>
        <w:t xml:space="preserve">Yani artış </w:t>
      </w:r>
      <w:r w:rsidR="007F3BA6">
        <w:rPr>
          <w:sz w:val="20"/>
          <w:szCs w:val="20"/>
        </w:rPr>
        <w:t xml:space="preserve">% 11.7’dir. </w:t>
      </w:r>
      <w:r w:rsidR="000E67B4">
        <w:rPr>
          <w:sz w:val="20"/>
          <w:szCs w:val="20"/>
        </w:rPr>
        <w:t>% 20 düzeyindeki g</w:t>
      </w:r>
      <w:r w:rsidR="004C441B">
        <w:rPr>
          <w:sz w:val="20"/>
          <w:szCs w:val="20"/>
        </w:rPr>
        <w:t xml:space="preserve">irdi fiyatlarındaki artışın çok altında </w:t>
      </w:r>
      <w:r w:rsidR="000E67B4">
        <w:rPr>
          <w:sz w:val="20"/>
          <w:szCs w:val="20"/>
        </w:rPr>
        <w:t>kalan</w:t>
      </w:r>
      <w:r w:rsidR="004C441B">
        <w:rPr>
          <w:sz w:val="20"/>
          <w:szCs w:val="20"/>
        </w:rPr>
        <w:t xml:space="preserve"> b</w:t>
      </w:r>
      <w:r w:rsidR="007F3BA6">
        <w:rPr>
          <w:sz w:val="20"/>
          <w:szCs w:val="20"/>
        </w:rPr>
        <w:t xml:space="preserve">u % 11.7’lik değer artışı 2017 yılının % 11.92 olan enflasyon (TÜFE) değerinin </w:t>
      </w:r>
      <w:r w:rsidR="000E67B4">
        <w:rPr>
          <w:sz w:val="20"/>
          <w:szCs w:val="20"/>
        </w:rPr>
        <w:t>de</w:t>
      </w:r>
      <w:r w:rsidR="007F3BA6">
        <w:rPr>
          <w:sz w:val="20"/>
          <w:szCs w:val="20"/>
        </w:rPr>
        <w:t xml:space="preserve"> altındadır. </w:t>
      </w:r>
      <w:r w:rsidR="004C441B">
        <w:rPr>
          <w:sz w:val="20"/>
          <w:szCs w:val="20"/>
        </w:rPr>
        <w:t xml:space="preserve">Aynı durum 2017 yılında da yaşanmıştı ve 2016’da 91 kuruş/kg olan buğday alım fiyatı </w:t>
      </w:r>
      <w:r w:rsidR="000E67B4">
        <w:rPr>
          <w:sz w:val="20"/>
          <w:szCs w:val="20"/>
        </w:rPr>
        <w:t xml:space="preserve">2017’de </w:t>
      </w:r>
      <w:r w:rsidR="004C441B">
        <w:rPr>
          <w:sz w:val="20"/>
          <w:szCs w:val="20"/>
        </w:rPr>
        <w:t xml:space="preserve">94 kuruş/kg’a yükselmişti. </w:t>
      </w:r>
      <w:r w:rsidR="007F3BA6">
        <w:rPr>
          <w:sz w:val="20"/>
          <w:szCs w:val="20"/>
        </w:rPr>
        <w:t xml:space="preserve">AK Parti iktidarının bu hatalı uygulamaları çiftçilerimizin zarar etmesine ve üretimden çekilmesine sebep olmaktadır. </w:t>
      </w:r>
      <w:r w:rsidR="000E67B4">
        <w:rPr>
          <w:sz w:val="20"/>
          <w:szCs w:val="20"/>
        </w:rPr>
        <w:t xml:space="preserve">Çiftçi üretimden çekilince ülkemiz </w:t>
      </w:r>
      <w:r w:rsidR="007F3BA6">
        <w:rPr>
          <w:sz w:val="20"/>
          <w:szCs w:val="20"/>
        </w:rPr>
        <w:t xml:space="preserve">tarım ürünleri </w:t>
      </w:r>
      <w:r w:rsidR="00C86B40">
        <w:rPr>
          <w:sz w:val="20"/>
          <w:szCs w:val="20"/>
        </w:rPr>
        <w:t>ithal</w:t>
      </w:r>
      <w:r w:rsidR="007F3BA6">
        <w:rPr>
          <w:sz w:val="20"/>
          <w:szCs w:val="20"/>
        </w:rPr>
        <w:t xml:space="preserve"> eden bir ülke durumuna geliyor</w:t>
      </w:r>
      <w:r w:rsidR="00376BA1">
        <w:rPr>
          <w:sz w:val="20"/>
          <w:szCs w:val="20"/>
        </w:rPr>
        <w:t>.</w:t>
      </w:r>
      <w:r w:rsidR="007F3BA6">
        <w:rPr>
          <w:sz w:val="20"/>
          <w:szCs w:val="20"/>
        </w:rPr>
        <w:t xml:space="preserve"> Saadet Partisi iktidarında çiftçimize </w:t>
      </w:r>
      <w:r w:rsidR="00D10566">
        <w:rPr>
          <w:sz w:val="20"/>
          <w:szCs w:val="20"/>
        </w:rPr>
        <w:t>hem üretim aşamasında</w:t>
      </w:r>
      <w:r w:rsidR="00376BA1">
        <w:rPr>
          <w:sz w:val="20"/>
          <w:szCs w:val="20"/>
        </w:rPr>
        <w:t>, yani</w:t>
      </w:r>
      <w:r w:rsidR="00D10566">
        <w:rPr>
          <w:sz w:val="20"/>
          <w:szCs w:val="20"/>
        </w:rPr>
        <w:t xml:space="preserve"> girdi temininde destek verilecek, hem de satış, pazarlama aşamasında destek verilecektir. </w:t>
      </w:r>
      <w:r w:rsidR="00D10566" w:rsidRPr="00C34A8D">
        <w:rPr>
          <w:b/>
          <w:sz w:val="20"/>
          <w:szCs w:val="20"/>
        </w:rPr>
        <w:t xml:space="preserve">Mesela mazot fiyatı yat sahiplerine mazotun verildiği gibi vergisiz olarak verilecektir. </w:t>
      </w:r>
      <w:r w:rsidR="007D4071" w:rsidRPr="00C34A8D">
        <w:rPr>
          <w:b/>
          <w:sz w:val="20"/>
          <w:szCs w:val="20"/>
        </w:rPr>
        <w:t xml:space="preserve">Buğday alım fiyatı da yüksek düzeyde belirlenecektir. Mesela </w:t>
      </w:r>
      <w:r w:rsidR="00C86B40" w:rsidRPr="00C34A8D">
        <w:rPr>
          <w:b/>
          <w:sz w:val="20"/>
          <w:szCs w:val="20"/>
        </w:rPr>
        <w:t xml:space="preserve">Saadet Partisi </w:t>
      </w:r>
      <w:r w:rsidR="007D4071" w:rsidRPr="00C34A8D">
        <w:rPr>
          <w:b/>
          <w:sz w:val="20"/>
          <w:szCs w:val="20"/>
        </w:rPr>
        <w:t xml:space="preserve">2018 yılı için </w:t>
      </w:r>
      <w:r w:rsidR="00C86B40" w:rsidRPr="00C34A8D">
        <w:rPr>
          <w:b/>
          <w:sz w:val="20"/>
          <w:szCs w:val="20"/>
        </w:rPr>
        <w:t xml:space="preserve">buğday fiyatını belirlese idi Anadolu Kırmızı sert ekmeklik buğday fiyatını </w:t>
      </w:r>
      <w:r w:rsidR="007D4071" w:rsidRPr="00C34A8D">
        <w:rPr>
          <w:b/>
          <w:sz w:val="20"/>
          <w:szCs w:val="20"/>
        </w:rPr>
        <w:t>140 kuruş/kg</w:t>
      </w:r>
      <w:r w:rsidR="00376BA1" w:rsidRPr="00C34A8D">
        <w:rPr>
          <w:b/>
          <w:sz w:val="20"/>
          <w:szCs w:val="20"/>
        </w:rPr>
        <w:t>’ın</w:t>
      </w:r>
      <w:r w:rsidR="007D4071" w:rsidRPr="00C34A8D">
        <w:rPr>
          <w:b/>
          <w:sz w:val="20"/>
          <w:szCs w:val="20"/>
        </w:rPr>
        <w:t xml:space="preserve"> </w:t>
      </w:r>
      <w:r w:rsidR="00C86B40" w:rsidRPr="00C34A8D">
        <w:rPr>
          <w:b/>
          <w:sz w:val="20"/>
          <w:szCs w:val="20"/>
        </w:rPr>
        <w:t xml:space="preserve">üzerinde </w:t>
      </w:r>
      <w:r w:rsidR="007D4071" w:rsidRPr="00C34A8D">
        <w:rPr>
          <w:b/>
          <w:sz w:val="20"/>
          <w:szCs w:val="20"/>
        </w:rPr>
        <w:t>belirle</w:t>
      </w:r>
      <w:r w:rsidR="0007203D" w:rsidRPr="00C34A8D">
        <w:rPr>
          <w:b/>
          <w:sz w:val="20"/>
          <w:szCs w:val="20"/>
        </w:rPr>
        <w:t>rdi.</w:t>
      </w:r>
    </w:p>
    <w:p w:rsidR="00072357" w:rsidRDefault="00095317" w:rsidP="00072357">
      <w:pPr>
        <w:pStyle w:val="ListeParagraf"/>
        <w:tabs>
          <w:tab w:val="left" w:pos="284"/>
        </w:tabs>
        <w:spacing w:line="360" w:lineRule="auto"/>
        <w:ind w:left="0"/>
        <w:jc w:val="both"/>
        <w:rPr>
          <w:sz w:val="20"/>
          <w:szCs w:val="20"/>
        </w:rPr>
      </w:pPr>
      <w:r>
        <w:rPr>
          <w:sz w:val="20"/>
          <w:szCs w:val="20"/>
        </w:rPr>
        <w:tab/>
      </w:r>
      <w:r w:rsidR="00072357" w:rsidRPr="007C0BD4">
        <w:rPr>
          <w:sz w:val="20"/>
          <w:szCs w:val="20"/>
        </w:rPr>
        <w:t xml:space="preserve">Tüketiciyi yakından ilgilendirdiği için, biz daha çok TÜFE üzerinde duruyoruz. </w:t>
      </w:r>
      <w:r w:rsidR="00D914ED">
        <w:rPr>
          <w:sz w:val="20"/>
          <w:szCs w:val="20"/>
        </w:rPr>
        <w:t>Mayıs</w:t>
      </w:r>
      <w:r w:rsidR="00513535">
        <w:rPr>
          <w:sz w:val="20"/>
          <w:szCs w:val="20"/>
        </w:rPr>
        <w:t xml:space="preserve"> </w:t>
      </w:r>
      <w:r w:rsidR="00072357" w:rsidRPr="007C0BD4">
        <w:rPr>
          <w:sz w:val="20"/>
          <w:szCs w:val="20"/>
        </w:rPr>
        <w:t>201</w:t>
      </w:r>
      <w:r w:rsidR="00851EF6">
        <w:rPr>
          <w:sz w:val="20"/>
          <w:szCs w:val="20"/>
        </w:rPr>
        <w:t>8</w:t>
      </w:r>
      <w:r w:rsidR="00072357" w:rsidRPr="007C0BD4">
        <w:rPr>
          <w:sz w:val="20"/>
          <w:szCs w:val="20"/>
        </w:rPr>
        <w:t xml:space="preserve">’de Üretici Fiyat Endeksine (ÜFE) göre enflasyon % </w:t>
      </w:r>
      <w:r w:rsidR="0039311D">
        <w:rPr>
          <w:sz w:val="20"/>
          <w:szCs w:val="20"/>
        </w:rPr>
        <w:t xml:space="preserve">3.79 </w:t>
      </w:r>
      <w:r w:rsidR="00072357" w:rsidRPr="007C0BD4">
        <w:rPr>
          <w:sz w:val="20"/>
          <w:szCs w:val="20"/>
        </w:rPr>
        <w:t xml:space="preserve">oldu. </w:t>
      </w:r>
      <w:r w:rsidR="00072357">
        <w:rPr>
          <w:sz w:val="20"/>
          <w:szCs w:val="20"/>
        </w:rPr>
        <w:t>Y</w:t>
      </w:r>
      <w:r w:rsidR="00072357" w:rsidRPr="007C0BD4">
        <w:rPr>
          <w:sz w:val="20"/>
          <w:szCs w:val="20"/>
        </w:rPr>
        <w:t xml:space="preserve">ıllık ÜFE’de % </w:t>
      </w:r>
      <w:r w:rsidR="0039311D">
        <w:rPr>
          <w:sz w:val="20"/>
          <w:szCs w:val="20"/>
        </w:rPr>
        <w:t>20.16</w:t>
      </w:r>
      <w:r w:rsidR="00072357">
        <w:rPr>
          <w:sz w:val="20"/>
          <w:szCs w:val="20"/>
        </w:rPr>
        <w:t xml:space="preserve"> </w:t>
      </w:r>
      <w:r w:rsidR="00072357" w:rsidRPr="007C0BD4">
        <w:rPr>
          <w:sz w:val="20"/>
          <w:szCs w:val="20"/>
        </w:rPr>
        <w:t xml:space="preserve">gibi </w:t>
      </w:r>
      <w:r w:rsidR="0039311D">
        <w:rPr>
          <w:sz w:val="20"/>
          <w:szCs w:val="20"/>
        </w:rPr>
        <w:t xml:space="preserve">çok </w:t>
      </w:r>
      <w:r w:rsidR="00072357" w:rsidRPr="007C0BD4">
        <w:rPr>
          <w:sz w:val="20"/>
          <w:szCs w:val="20"/>
        </w:rPr>
        <w:t xml:space="preserve">yüksek bir </w:t>
      </w:r>
      <w:r w:rsidR="00C77DEF">
        <w:rPr>
          <w:sz w:val="20"/>
          <w:szCs w:val="20"/>
        </w:rPr>
        <w:t>düzeyde</w:t>
      </w:r>
      <w:r w:rsidR="00072357" w:rsidRPr="007C0BD4">
        <w:rPr>
          <w:sz w:val="20"/>
          <w:szCs w:val="20"/>
        </w:rPr>
        <w:t xml:space="preserve"> gerçekleşti.</w:t>
      </w:r>
      <w:r w:rsidR="00103F53">
        <w:rPr>
          <w:sz w:val="20"/>
          <w:szCs w:val="20"/>
        </w:rPr>
        <w:t xml:space="preserve"> </w:t>
      </w:r>
      <w:r w:rsidR="00072357" w:rsidRPr="007C0BD4">
        <w:rPr>
          <w:sz w:val="20"/>
          <w:szCs w:val="20"/>
        </w:rPr>
        <w:t xml:space="preserve"> </w:t>
      </w:r>
      <w:r w:rsidR="00103F53">
        <w:rPr>
          <w:b/>
          <w:sz w:val="20"/>
          <w:szCs w:val="20"/>
        </w:rPr>
        <w:t>Daha önce</w:t>
      </w:r>
      <w:r w:rsidR="009B00EE">
        <w:rPr>
          <w:b/>
          <w:sz w:val="20"/>
          <w:szCs w:val="20"/>
        </w:rPr>
        <w:t>ki</w:t>
      </w:r>
      <w:r w:rsidR="00103F53">
        <w:rPr>
          <w:b/>
          <w:sz w:val="20"/>
          <w:szCs w:val="20"/>
        </w:rPr>
        <w:t xml:space="preserve"> raporlarımızda belirttiğimiz gibi, </w:t>
      </w:r>
      <w:r w:rsidR="00072357" w:rsidRPr="004C5305">
        <w:rPr>
          <w:b/>
          <w:sz w:val="20"/>
          <w:szCs w:val="20"/>
        </w:rPr>
        <w:t xml:space="preserve">ÜFE’nin yüksek olması müteakip aylarda TÜFE’nin de yüksek seyretmesine sebep olmaktadır. </w:t>
      </w:r>
      <w:r w:rsidR="00103F53">
        <w:rPr>
          <w:b/>
          <w:sz w:val="20"/>
          <w:szCs w:val="20"/>
        </w:rPr>
        <w:t>B</w:t>
      </w:r>
      <w:r w:rsidR="00072357" w:rsidRPr="004C5305">
        <w:rPr>
          <w:b/>
          <w:sz w:val="20"/>
          <w:szCs w:val="20"/>
        </w:rPr>
        <w:t>unun anlamı halkımız önümüzdeki bir kaç ay daha yüksek enflasyon (TÜFE) ile yaşayacaktır.</w:t>
      </w:r>
      <w:r w:rsidR="00072357">
        <w:rPr>
          <w:sz w:val="20"/>
          <w:szCs w:val="20"/>
        </w:rPr>
        <w:t xml:space="preserve"> </w:t>
      </w:r>
    </w:p>
    <w:p w:rsidR="00F638EB" w:rsidRDefault="00F638EB" w:rsidP="007C0BD4">
      <w:pPr>
        <w:pStyle w:val="ListeParagraf"/>
        <w:tabs>
          <w:tab w:val="left" w:pos="284"/>
        </w:tabs>
        <w:spacing w:line="360" w:lineRule="auto"/>
        <w:ind w:left="0"/>
        <w:jc w:val="both"/>
        <w:rPr>
          <w:sz w:val="20"/>
          <w:szCs w:val="20"/>
        </w:rPr>
      </w:pPr>
    </w:p>
    <w:p w:rsidR="00513535" w:rsidRPr="00513535" w:rsidRDefault="003242FB" w:rsidP="00513535">
      <w:pPr>
        <w:pStyle w:val="ListeParagraf"/>
        <w:numPr>
          <w:ilvl w:val="0"/>
          <w:numId w:val="1"/>
        </w:numPr>
        <w:tabs>
          <w:tab w:val="left" w:pos="0"/>
          <w:tab w:val="left" w:pos="284"/>
        </w:tabs>
        <w:spacing w:after="200" w:line="360" w:lineRule="auto"/>
        <w:ind w:left="0" w:firstLine="0"/>
        <w:jc w:val="both"/>
        <w:rPr>
          <w:sz w:val="20"/>
          <w:szCs w:val="20"/>
        </w:rPr>
      </w:pPr>
      <w:r w:rsidRPr="00513535">
        <w:rPr>
          <w:b/>
          <w:sz w:val="20"/>
          <w:szCs w:val="20"/>
        </w:rPr>
        <w:t>Büyüme.</w:t>
      </w:r>
      <w:r w:rsidRPr="00513535">
        <w:rPr>
          <w:sz w:val="20"/>
          <w:szCs w:val="20"/>
        </w:rPr>
        <w:t xml:space="preserve"> </w:t>
      </w:r>
      <w:r w:rsidR="00D914ED">
        <w:rPr>
          <w:sz w:val="20"/>
          <w:szCs w:val="20"/>
        </w:rPr>
        <w:t xml:space="preserve">2018 yılının 1. çeyreğine ait GSYH büyüme rakamları TÜİK tarafından 11 Haziran 2018’de açıklanacak. </w:t>
      </w:r>
      <w:r w:rsidR="00513535" w:rsidRPr="00513535">
        <w:rPr>
          <w:sz w:val="20"/>
          <w:szCs w:val="20"/>
        </w:rPr>
        <w:t xml:space="preserve">2017 yılı GSYH’nın </w:t>
      </w:r>
      <w:r w:rsidR="00EA4BAA">
        <w:rPr>
          <w:sz w:val="20"/>
          <w:szCs w:val="20"/>
        </w:rPr>
        <w:t>y</w:t>
      </w:r>
      <w:r w:rsidR="009C59F8">
        <w:rPr>
          <w:sz w:val="20"/>
          <w:szCs w:val="20"/>
        </w:rPr>
        <w:t>ıllık büyüme hızı</w:t>
      </w:r>
      <w:r w:rsidR="00767DE0">
        <w:rPr>
          <w:sz w:val="20"/>
          <w:szCs w:val="20"/>
        </w:rPr>
        <w:t>nın</w:t>
      </w:r>
      <w:r w:rsidR="009C59F8">
        <w:rPr>
          <w:sz w:val="20"/>
          <w:szCs w:val="20"/>
        </w:rPr>
        <w:t xml:space="preserve"> % 7.4 oldu</w:t>
      </w:r>
      <w:r w:rsidR="00767DE0">
        <w:rPr>
          <w:sz w:val="20"/>
          <w:szCs w:val="20"/>
        </w:rPr>
        <w:t>ğu açıklandı.</w:t>
      </w:r>
      <w:r w:rsidR="00724D14">
        <w:rPr>
          <w:sz w:val="20"/>
          <w:szCs w:val="20"/>
        </w:rPr>
        <w:t xml:space="preserve"> </w:t>
      </w:r>
      <w:r w:rsidR="00724D14" w:rsidRPr="00527282">
        <w:rPr>
          <w:sz w:val="20"/>
          <w:szCs w:val="20"/>
        </w:rPr>
        <w:t>Bu % 7.4’lük büyüme oranı azımsanacak bir büyüme değildir.</w:t>
      </w:r>
      <w:r w:rsidR="00513535" w:rsidRPr="00513535">
        <w:rPr>
          <w:b/>
          <w:sz w:val="20"/>
          <w:szCs w:val="20"/>
        </w:rPr>
        <w:t xml:space="preserve"> A</w:t>
      </w:r>
      <w:r w:rsidR="00724D14">
        <w:rPr>
          <w:b/>
          <w:sz w:val="20"/>
          <w:szCs w:val="20"/>
        </w:rPr>
        <w:t>ncak</w:t>
      </w:r>
      <w:r w:rsidR="00513535" w:rsidRPr="00513535">
        <w:rPr>
          <w:b/>
          <w:sz w:val="20"/>
          <w:szCs w:val="20"/>
        </w:rPr>
        <w:t xml:space="preserve"> bu büyüme borca ve tüketime dayalı bir büyümedir. </w:t>
      </w:r>
      <w:r w:rsidR="00724D14">
        <w:rPr>
          <w:sz w:val="20"/>
          <w:szCs w:val="20"/>
        </w:rPr>
        <w:t>Şu hususu da dikkate almak gerekir. TL bazında yıllık % 7.4 büyüme kaydedilirken dolar bazında ekonomi küçülmüştür. 2016 yılında dolar bazında cari fiyatlarla 862</w:t>
      </w:r>
      <w:r w:rsidR="00103F53">
        <w:rPr>
          <w:sz w:val="20"/>
          <w:szCs w:val="20"/>
        </w:rPr>
        <w:t xml:space="preserve"> milyar </w:t>
      </w:r>
      <w:r w:rsidR="00724D14">
        <w:rPr>
          <w:sz w:val="20"/>
          <w:szCs w:val="20"/>
        </w:rPr>
        <w:t xml:space="preserve">744 milyon </w:t>
      </w:r>
      <w:r w:rsidR="00767DE0">
        <w:rPr>
          <w:sz w:val="20"/>
          <w:szCs w:val="20"/>
        </w:rPr>
        <w:t xml:space="preserve">dolar </w:t>
      </w:r>
      <w:r w:rsidR="00724D14">
        <w:rPr>
          <w:sz w:val="20"/>
          <w:szCs w:val="20"/>
        </w:rPr>
        <w:t>olan GSYH</w:t>
      </w:r>
      <w:r w:rsidR="00767DE0">
        <w:rPr>
          <w:sz w:val="20"/>
          <w:szCs w:val="20"/>
        </w:rPr>
        <w:t>,</w:t>
      </w:r>
      <w:r w:rsidR="00724D14">
        <w:rPr>
          <w:sz w:val="20"/>
          <w:szCs w:val="20"/>
        </w:rPr>
        <w:t xml:space="preserve"> 2017 yılında 851 milyar 046 milyon dolar</w:t>
      </w:r>
      <w:r w:rsidR="00527282">
        <w:rPr>
          <w:sz w:val="20"/>
          <w:szCs w:val="20"/>
        </w:rPr>
        <w:t>a</w:t>
      </w:r>
      <w:r w:rsidR="00724D14">
        <w:rPr>
          <w:sz w:val="20"/>
          <w:szCs w:val="20"/>
        </w:rPr>
        <w:t xml:space="preserve"> </w:t>
      </w:r>
      <w:r w:rsidR="00527282">
        <w:rPr>
          <w:sz w:val="20"/>
          <w:szCs w:val="20"/>
        </w:rPr>
        <w:t>düşmüştür.</w:t>
      </w:r>
      <w:r w:rsidR="00724D14">
        <w:rPr>
          <w:sz w:val="20"/>
          <w:szCs w:val="20"/>
        </w:rPr>
        <w:t xml:space="preserve"> </w:t>
      </w:r>
      <w:r w:rsidR="00103F53">
        <w:rPr>
          <w:sz w:val="20"/>
          <w:szCs w:val="20"/>
        </w:rPr>
        <w:t xml:space="preserve">Yani GSYH 2016 yılına göre 2017 yılında 11 milyar 698 milyon dolar azalmıştır. </w:t>
      </w:r>
      <w:r w:rsidR="00724D14" w:rsidRPr="00500FF9">
        <w:rPr>
          <w:b/>
          <w:sz w:val="20"/>
          <w:szCs w:val="20"/>
        </w:rPr>
        <w:t xml:space="preserve">Tabii bu durum </w:t>
      </w:r>
      <w:r w:rsidR="00103F53" w:rsidRPr="00500FF9">
        <w:rPr>
          <w:b/>
          <w:sz w:val="20"/>
          <w:szCs w:val="20"/>
        </w:rPr>
        <w:t xml:space="preserve">kişi </w:t>
      </w:r>
      <w:r w:rsidR="00724D14" w:rsidRPr="00500FF9">
        <w:rPr>
          <w:b/>
          <w:sz w:val="20"/>
          <w:szCs w:val="20"/>
        </w:rPr>
        <w:t>başına düşen GSYH m</w:t>
      </w:r>
      <w:r w:rsidR="00103F53" w:rsidRPr="00500FF9">
        <w:rPr>
          <w:b/>
          <w:sz w:val="20"/>
          <w:szCs w:val="20"/>
        </w:rPr>
        <w:t xml:space="preserve">iktarının da düşmesine sebep olmuştur. </w:t>
      </w:r>
      <w:r w:rsidR="001D68AF" w:rsidRPr="00500FF9">
        <w:rPr>
          <w:b/>
          <w:sz w:val="20"/>
          <w:szCs w:val="20"/>
        </w:rPr>
        <w:t>2016 yılında 10.</w:t>
      </w:r>
      <w:r w:rsidR="008E2E42">
        <w:rPr>
          <w:b/>
          <w:sz w:val="20"/>
          <w:szCs w:val="20"/>
        </w:rPr>
        <w:t>807</w:t>
      </w:r>
      <w:r w:rsidR="001D68AF" w:rsidRPr="00500FF9">
        <w:rPr>
          <w:b/>
          <w:sz w:val="20"/>
          <w:szCs w:val="20"/>
        </w:rPr>
        <w:t xml:space="preserve"> dolar olan kişi başına GSYH 2017 yılında </w:t>
      </w:r>
      <w:r w:rsidR="00242D63" w:rsidRPr="00500FF9">
        <w:rPr>
          <w:b/>
          <w:sz w:val="20"/>
          <w:szCs w:val="20"/>
        </w:rPr>
        <w:t>10.</w:t>
      </w:r>
      <w:r w:rsidR="008E2E42">
        <w:rPr>
          <w:b/>
          <w:sz w:val="20"/>
          <w:szCs w:val="20"/>
        </w:rPr>
        <w:t>5</w:t>
      </w:r>
      <w:r w:rsidR="00C34A8D">
        <w:rPr>
          <w:b/>
          <w:sz w:val="20"/>
          <w:szCs w:val="20"/>
        </w:rPr>
        <w:t>97</w:t>
      </w:r>
      <w:r w:rsidR="00242D63" w:rsidRPr="00500FF9">
        <w:rPr>
          <w:b/>
          <w:sz w:val="20"/>
          <w:szCs w:val="20"/>
        </w:rPr>
        <w:t xml:space="preserve"> dolara düş</w:t>
      </w:r>
      <w:r w:rsidR="00103F53" w:rsidRPr="00500FF9">
        <w:rPr>
          <w:b/>
          <w:sz w:val="20"/>
          <w:szCs w:val="20"/>
        </w:rPr>
        <w:t>müştür.</w:t>
      </w:r>
      <w:r w:rsidR="00103F53">
        <w:rPr>
          <w:sz w:val="20"/>
          <w:szCs w:val="20"/>
        </w:rPr>
        <w:t xml:space="preserve"> </w:t>
      </w:r>
      <w:r w:rsidR="00242D63">
        <w:rPr>
          <w:sz w:val="20"/>
          <w:szCs w:val="20"/>
        </w:rPr>
        <w:t xml:space="preserve">Yani </w:t>
      </w:r>
      <w:r w:rsidR="00AB4AB6">
        <w:rPr>
          <w:sz w:val="20"/>
          <w:szCs w:val="20"/>
        </w:rPr>
        <w:t xml:space="preserve">aslında </w:t>
      </w:r>
      <w:r w:rsidR="00242D63">
        <w:rPr>
          <w:sz w:val="20"/>
          <w:szCs w:val="20"/>
        </w:rPr>
        <w:t xml:space="preserve">insanlarımız 2017 yılında </w:t>
      </w:r>
      <w:r w:rsidR="003C6231">
        <w:rPr>
          <w:sz w:val="20"/>
          <w:szCs w:val="20"/>
        </w:rPr>
        <w:t xml:space="preserve">bir önceki yıla göre </w:t>
      </w:r>
      <w:r w:rsidR="00242D63">
        <w:rPr>
          <w:sz w:val="20"/>
          <w:szCs w:val="20"/>
        </w:rPr>
        <w:t>fakirleşmiştir</w:t>
      </w:r>
      <w:r w:rsidR="00103F53">
        <w:rPr>
          <w:sz w:val="20"/>
          <w:szCs w:val="20"/>
        </w:rPr>
        <w:t>.</w:t>
      </w:r>
    </w:p>
    <w:p w:rsidR="00A73C01" w:rsidRPr="00513535" w:rsidRDefault="00A73C01" w:rsidP="00513535">
      <w:pPr>
        <w:pStyle w:val="ListeParagraf"/>
        <w:tabs>
          <w:tab w:val="left" w:pos="284"/>
        </w:tabs>
        <w:spacing w:after="200" w:line="360" w:lineRule="auto"/>
        <w:ind w:left="426"/>
        <w:jc w:val="both"/>
        <w:rPr>
          <w:sz w:val="20"/>
          <w:szCs w:val="20"/>
        </w:rPr>
      </w:pPr>
    </w:p>
    <w:p w:rsidR="00D914ED" w:rsidRPr="00D914ED" w:rsidRDefault="003242FB" w:rsidP="00D914ED">
      <w:pPr>
        <w:pStyle w:val="ListeParagraf"/>
        <w:numPr>
          <w:ilvl w:val="0"/>
          <w:numId w:val="1"/>
        </w:numPr>
        <w:tabs>
          <w:tab w:val="left" w:pos="284"/>
          <w:tab w:val="left" w:pos="709"/>
          <w:tab w:val="left" w:pos="993"/>
        </w:tabs>
        <w:spacing w:after="200" w:line="360" w:lineRule="auto"/>
        <w:ind w:left="0" w:firstLine="0"/>
        <w:jc w:val="both"/>
        <w:rPr>
          <w:sz w:val="20"/>
          <w:szCs w:val="20"/>
        </w:rPr>
      </w:pPr>
      <w:r w:rsidRPr="00803883">
        <w:rPr>
          <w:b/>
          <w:sz w:val="20"/>
          <w:szCs w:val="20"/>
        </w:rPr>
        <w:t xml:space="preserve">Faiz. </w:t>
      </w:r>
      <w:r w:rsidR="00D914ED" w:rsidRPr="00D914ED">
        <w:rPr>
          <w:sz w:val="20"/>
          <w:szCs w:val="20"/>
        </w:rPr>
        <w:t xml:space="preserve">2017 yılında bütçeden </w:t>
      </w:r>
      <w:r w:rsidR="00D914ED" w:rsidRPr="00D914ED">
        <w:rPr>
          <w:b/>
          <w:sz w:val="20"/>
          <w:szCs w:val="20"/>
        </w:rPr>
        <w:t>faize 56.7 milyar TL</w:t>
      </w:r>
      <w:r w:rsidR="00D914ED" w:rsidRPr="00D914ED">
        <w:rPr>
          <w:sz w:val="20"/>
          <w:szCs w:val="20"/>
        </w:rPr>
        <w:t xml:space="preserve"> ödeme yapılmış idi. </w:t>
      </w:r>
      <w:r w:rsidR="00D914ED" w:rsidRPr="00D914ED">
        <w:rPr>
          <w:b/>
          <w:sz w:val="20"/>
          <w:szCs w:val="20"/>
        </w:rPr>
        <w:t>15 yıllık</w:t>
      </w:r>
      <w:r w:rsidR="00D914ED" w:rsidRPr="00D914ED">
        <w:rPr>
          <w:sz w:val="20"/>
          <w:szCs w:val="20"/>
        </w:rPr>
        <w:t xml:space="preserve"> (2002-2017) AK Parti iktidarında bütçeden faize ödenen para miktarı </w:t>
      </w:r>
      <w:r w:rsidR="00D914ED" w:rsidRPr="00D914ED">
        <w:rPr>
          <w:b/>
          <w:sz w:val="20"/>
          <w:szCs w:val="20"/>
        </w:rPr>
        <w:t>758 milyar TL’dir.</w:t>
      </w:r>
      <w:r w:rsidR="00D914ED" w:rsidRPr="00D914ED">
        <w:rPr>
          <w:sz w:val="20"/>
          <w:szCs w:val="20"/>
        </w:rPr>
        <w:t xml:space="preserve"> 2018 yılının ilk dört ayında (Ocak-Nisan) da bütçeden 2</w:t>
      </w:r>
      <w:r w:rsidR="008E2E42">
        <w:rPr>
          <w:sz w:val="20"/>
          <w:szCs w:val="20"/>
        </w:rPr>
        <w:t>5</w:t>
      </w:r>
      <w:r w:rsidR="00D914ED" w:rsidRPr="00D914ED">
        <w:rPr>
          <w:sz w:val="20"/>
          <w:szCs w:val="20"/>
        </w:rPr>
        <w:t xml:space="preserve">.4 milyar TL faiz harcaması yapıldı. 2018 yılının tamamında bütçeden yapılacak faiz harcaması 71.7 milyar TL olarak hedeflenmiştir. Bütçeden yapılacak faiz ödemeleri yıllar itibari ile artmaktadır. </w:t>
      </w:r>
      <w:r w:rsidR="00D914ED" w:rsidRPr="00D914ED">
        <w:rPr>
          <w:b/>
          <w:sz w:val="20"/>
          <w:szCs w:val="20"/>
        </w:rPr>
        <w:t>2019</w:t>
      </w:r>
      <w:r w:rsidR="00D914ED" w:rsidRPr="00D914ED">
        <w:rPr>
          <w:sz w:val="20"/>
          <w:szCs w:val="20"/>
        </w:rPr>
        <w:t xml:space="preserve"> yılında bütçeden yapılacak faiz ödemelerinin </w:t>
      </w:r>
      <w:r w:rsidR="00D914ED" w:rsidRPr="00D914ED">
        <w:rPr>
          <w:b/>
          <w:sz w:val="20"/>
          <w:szCs w:val="20"/>
        </w:rPr>
        <w:t>85 milyar TL,</w:t>
      </w:r>
      <w:r w:rsidR="00D914ED" w:rsidRPr="00D914ED">
        <w:rPr>
          <w:sz w:val="20"/>
          <w:szCs w:val="20"/>
        </w:rPr>
        <w:t xml:space="preserve"> </w:t>
      </w:r>
      <w:r w:rsidR="00D914ED" w:rsidRPr="00D914ED">
        <w:rPr>
          <w:b/>
          <w:sz w:val="20"/>
          <w:szCs w:val="20"/>
        </w:rPr>
        <w:t>2020 yılında ise</w:t>
      </w:r>
      <w:r w:rsidR="00D914ED" w:rsidRPr="00D914ED">
        <w:rPr>
          <w:sz w:val="20"/>
          <w:szCs w:val="20"/>
        </w:rPr>
        <w:t xml:space="preserve"> bütçeden yapılacak faiz ödemelerinin </w:t>
      </w:r>
      <w:r w:rsidR="00D914ED" w:rsidRPr="00D914ED">
        <w:rPr>
          <w:b/>
          <w:sz w:val="20"/>
          <w:szCs w:val="20"/>
        </w:rPr>
        <w:t>96 milyar TL</w:t>
      </w:r>
      <w:r w:rsidR="00D914ED" w:rsidRPr="00D914ED">
        <w:rPr>
          <w:sz w:val="20"/>
          <w:szCs w:val="20"/>
        </w:rPr>
        <w:t xml:space="preserve"> olacağı öngörülmektedir.</w:t>
      </w:r>
    </w:p>
    <w:p w:rsidR="00D914ED" w:rsidRPr="00D914ED" w:rsidRDefault="00D914ED" w:rsidP="00D914ED">
      <w:pPr>
        <w:pStyle w:val="ListeParagraf"/>
        <w:rPr>
          <w:sz w:val="20"/>
          <w:szCs w:val="20"/>
        </w:rPr>
      </w:pPr>
    </w:p>
    <w:p w:rsidR="00D914ED" w:rsidRPr="00D914ED" w:rsidRDefault="00D914ED" w:rsidP="00D914ED">
      <w:pPr>
        <w:pStyle w:val="ListeParagraf"/>
        <w:tabs>
          <w:tab w:val="left" w:pos="284"/>
        </w:tabs>
        <w:spacing w:after="200" w:line="360" w:lineRule="auto"/>
        <w:ind w:left="0"/>
        <w:jc w:val="both"/>
        <w:rPr>
          <w:b/>
          <w:sz w:val="20"/>
          <w:szCs w:val="20"/>
        </w:rPr>
      </w:pPr>
      <w:r>
        <w:rPr>
          <w:sz w:val="20"/>
          <w:szCs w:val="20"/>
        </w:rPr>
        <w:tab/>
      </w:r>
      <w:r w:rsidRPr="00D914ED">
        <w:rPr>
          <w:sz w:val="20"/>
          <w:szCs w:val="20"/>
        </w:rPr>
        <w:t xml:space="preserve">Türkiye Cumhuriyeti Merkez Bankası (TCMB) Para Politikası Kurulu Nisan 2018’deki toplantısında geç likidite penceresi faiz oranında 75 baz puan artırıma gitti ve </w:t>
      </w:r>
      <w:r w:rsidRPr="00D914ED">
        <w:rPr>
          <w:b/>
          <w:sz w:val="20"/>
          <w:szCs w:val="20"/>
        </w:rPr>
        <w:t xml:space="preserve">% 12.75 olan geç likidite faiz oranını </w:t>
      </w:r>
      <w:r w:rsidR="006225B8">
        <w:rPr>
          <w:b/>
          <w:sz w:val="20"/>
          <w:szCs w:val="20"/>
        </w:rPr>
        <w:t xml:space="preserve">           </w:t>
      </w:r>
      <w:r w:rsidRPr="00D914ED">
        <w:rPr>
          <w:b/>
          <w:sz w:val="20"/>
          <w:szCs w:val="20"/>
        </w:rPr>
        <w:t>% 13.5’e yükseltti.</w:t>
      </w:r>
      <w:r w:rsidRPr="00D914ED">
        <w:rPr>
          <w:sz w:val="20"/>
          <w:szCs w:val="20"/>
        </w:rPr>
        <w:t xml:space="preserve"> Gecelik borç verme faiz oranında ve haftalık repo ihale faiz oranında değişikliğe gitmedi. </w:t>
      </w:r>
      <w:r w:rsidR="008E2E42">
        <w:rPr>
          <w:sz w:val="20"/>
          <w:szCs w:val="20"/>
        </w:rPr>
        <w:t xml:space="preserve">Para Politikası Kurulu bir sonraki </w:t>
      </w:r>
      <w:r w:rsidR="0019696C">
        <w:rPr>
          <w:sz w:val="20"/>
          <w:szCs w:val="20"/>
        </w:rPr>
        <w:t>toplantısını 07 Haziran 2018’de yapacağını açıklamıştı. Ancak son 2-3 haftada (07.05.2018-23.05.2018) dövizdeki aşırı yükselmenin önlen</w:t>
      </w:r>
      <w:r w:rsidR="009F0754">
        <w:rPr>
          <w:sz w:val="20"/>
          <w:szCs w:val="20"/>
        </w:rPr>
        <w:t>ebil</w:t>
      </w:r>
      <w:r w:rsidR="0019696C">
        <w:rPr>
          <w:sz w:val="20"/>
          <w:szCs w:val="20"/>
        </w:rPr>
        <w:t>mesi için Para Politikası Kurulu 23 Mayıs 2018’de olağanüstü toplantı yaptı ve geç likidite penceresi faiz oranında 300 baz puan a</w:t>
      </w:r>
      <w:r w:rsidR="009F0754">
        <w:rPr>
          <w:sz w:val="20"/>
          <w:szCs w:val="20"/>
        </w:rPr>
        <w:t>r</w:t>
      </w:r>
      <w:r w:rsidR="0019696C">
        <w:rPr>
          <w:sz w:val="20"/>
          <w:szCs w:val="20"/>
        </w:rPr>
        <w:t xml:space="preserve">tırıma gitti ve Nisan 2018’de % 13.5’e çıkardığı geç likidite </w:t>
      </w:r>
      <w:r w:rsidR="000214CC">
        <w:rPr>
          <w:sz w:val="20"/>
          <w:szCs w:val="20"/>
        </w:rPr>
        <w:t xml:space="preserve">penceresi </w:t>
      </w:r>
      <w:r w:rsidR="0019696C">
        <w:rPr>
          <w:sz w:val="20"/>
          <w:szCs w:val="20"/>
        </w:rPr>
        <w:t>faiz oranını % 16.5’e yükseltti. Fa</w:t>
      </w:r>
      <w:r w:rsidR="00987DD8">
        <w:rPr>
          <w:sz w:val="20"/>
          <w:szCs w:val="20"/>
        </w:rPr>
        <w:t>iz</w:t>
      </w:r>
      <w:r w:rsidR="0019696C">
        <w:rPr>
          <w:sz w:val="20"/>
          <w:szCs w:val="20"/>
        </w:rPr>
        <w:t xml:space="preserve">deki bu artış dolardaki hızlı yükselişi durdurdu ve dolar düşüşe geçti. Ancak bunun da yeterli olmayacağı anlaşıldığından Başbakan Yardımcısı Sayın Mehmet Şimşek ile Merkez Bankası Başkanı Sayın Murat Çetinkaya önce 27 Mayıs 2018’de, Türkiye’deki </w:t>
      </w:r>
      <w:r w:rsidR="00AC3C14">
        <w:rPr>
          <w:sz w:val="20"/>
          <w:szCs w:val="20"/>
        </w:rPr>
        <w:t xml:space="preserve">finans sektörünün önde gelenlerinin temsilcileriyle bir toplantı yaparak Merkez Bankası’nın “sadeleşme adımını” </w:t>
      </w:r>
      <w:r w:rsidR="009F0754">
        <w:rPr>
          <w:sz w:val="20"/>
          <w:szCs w:val="20"/>
        </w:rPr>
        <w:t xml:space="preserve">(açık anlatımıyla faizlerin artırılması) </w:t>
      </w:r>
      <w:r w:rsidR="00AC3C14">
        <w:rPr>
          <w:sz w:val="20"/>
          <w:szCs w:val="20"/>
        </w:rPr>
        <w:t xml:space="preserve">atma kararı aldılar. Sonra da Londra’ya giderek dünyanın önde gelen finans sektörü temsilcileri ile bir araya geldiler. </w:t>
      </w:r>
      <w:r w:rsidRPr="00D914ED">
        <w:rPr>
          <w:sz w:val="20"/>
          <w:szCs w:val="20"/>
        </w:rPr>
        <w:t xml:space="preserve">Merkez Bankası faiz oranında yükseltme yapınca bankalar da faiz oranını yükseltme cihetine gideceklerdir. Bu durum </w:t>
      </w:r>
      <w:r w:rsidRPr="00D914ED">
        <w:rPr>
          <w:b/>
          <w:sz w:val="20"/>
          <w:szCs w:val="20"/>
        </w:rPr>
        <w:t>Sayın Cumhurbaşkanının faizlerin düşürülmesi talebi ile çelişiyor. Ama maalesef faizler yükseliyor.</w:t>
      </w:r>
      <w:r w:rsidR="00AC3C14">
        <w:rPr>
          <w:b/>
          <w:sz w:val="20"/>
          <w:szCs w:val="20"/>
        </w:rPr>
        <w:t xml:space="preserve"> </w:t>
      </w:r>
      <w:r w:rsidR="00247ADC">
        <w:rPr>
          <w:b/>
          <w:sz w:val="20"/>
          <w:szCs w:val="20"/>
        </w:rPr>
        <w:t>Bizce</w:t>
      </w:r>
      <w:r w:rsidR="00AC3C14">
        <w:rPr>
          <w:b/>
          <w:sz w:val="20"/>
          <w:szCs w:val="20"/>
        </w:rPr>
        <w:t xml:space="preserve"> faizlerdeki bu yükselmeden sonra </w:t>
      </w:r>
      <w:r w:rsidR="009F0754">
        <w:rPr>
          <w:b/>
          <w:sz w:val="20"/>
          <w:szCs w:val="20"/>
        </w:rPr>
        <w:t>Sayın Cumhurbaşkanı</w:t>
      </w:r>
      <w:r w:rsidR="00247ADC">
        <w:rPr>
          <w:b/>
          <w:sz w:val="20"/>
          <w:szCs w:val="20"/>
        </w:rPr>
        <w:t xml:space="preserve">’nın </w:t>
      </w:r>
      <w:r w:rsidR="009F0754">
        <w:rPr>
          <w:b/>
          <w:sz w:val="20"/>
          <w:szCs w:val="20"/>
        </w:rPr>
        <w:t>Sayın Başbakan</w:t>
      </w:r>
      <w:r w:rsidR="00247ADC">
        <w:rPr>
          <w:b/>
          <w:sz w:val="20"/>
          <w:szCs w:val="20"/>
        </w:rPr>
        <w:t xml:space="preserve">’ın ve </w:t>
      </w:r>
      <w:r w:rsidR="00AC3C14">
        <w:rPr>
          <w:b/>
          <w:sz w:val="20"/>
          <w:szCs w:val="20"/>
        </w:rPr>
        <w:t>AK Parti yetkilileri</w:t>
      </w:r>
      <w:r w:rsidR="00247ADC">
        <w:rPr>
          <w:b/>
          <w:sz w:val="20"/>
          <w:szCs w:val="20"/>
        </w:rPr>
        <w:t>nin</w:t>
      </w:r>
      <w:r w:rsidR="009F0754">
        <w:rPr>
          <w:b/>
          <w:sz w:val="20"/>
          <w:szCs w:val="20"/>
        </w:rPr>
        <w:t xml:space="preserve"> </w:t>
      </w:r>
      <w:r w:rsidR="00AC3C14">
        <w:rPr>
          <w:b/>
          <w:sz w:val="20"/>
          <w:szCs w:val="20"/>
        </w:rPr>
        <w:t>fazla bir açıklama yapm</w:t>
      </w:r>
      <w:r w:rsidR="00247ADC">
        <w:rPr>
          <w:b/>
          <w:sz w:val="20"/>
          <w:szCs w:val="20"/>
        </w:rPr>
        <w:t>amaları dikkate değer bir durum.</w:t>
      </w:r>
    </w:p>
    <w:p w:rsidR="00D914ED" w:rsidRPr="00D914ED" w:rsidRDefault="00D914ED" w:rsidP="00D914ED">
      <w:pPr>
        <w:pStyle w:val="ListeParagraf"/>
        <w:tabs>
          <w:tab w:val="left" w:pos="284"/>
        </w:tabs>
        <w:spacing w:after="200" w:line="360" w:lineRule="auto"/>
        <w:ind w:left="0"/>
        <w:jc w:val="both"/>
        <w:rPr>
          <w:b/>
          <w:sz w:val="20"/>
          <w:szCs w:val="20"/>
        </w:rPr>
      </w:pPr>
      <w:r>
        <w:rPr>
          <w:sz w:val="20"/>
          <w:szCs w:val="20"/>
        </w:rPr>
        <w:tab/>
      </w:r>
      <w:r w:rsidR="00AC3C14">
        <w:rPr>
          <w:sz w:val="20"/>
          <w:szCs w:val="20"/>
        </w:rPr>
        <w:t xml:space="preserve">Türkiye Cumhuriyeti Merkez Bankası faizleri yükseltince </w:t>
      </w:r>
      <w:r w:rsidR="009F0754">
        <w:rPr>
          <w:sz w:val="20"/>
          <w:szCs w:val="20"/>
        </w:rPr>
        <w:t>t</w:t>
      </w:r>
      <w:r w:rsidRPr="00D914ED">
        <w:rPr>
          <w:sz w:val="20"/>
          <w:szCs w:val="20"/>
        </w:rPr>
        <w:t>ahvil piyasasındaki faiz oranı da yükse</w:t>
      </w:r>
      <w:r w:rsidR="00AC3C14">
        <w:rPr>
          <w:sz w:val="20"/>
          <w:szCs w:val="20"/>
        </w:rPr>
        <w:t xml:space="preserve">ldi ve </w:t>
      </w:r>
      <w:r w:rsidR="009F0754">
        <w:rPr>
          <w:sz w:val="20"/>
          <w:szCs w:val="20"/>
        </w:rPr>
        <w:t>t</w:t>
      </w:r>
      <w:r w:rsidRPr="00D914ED">
        <w:rPr>
          <w:sz w:val="20"/>
          <w:szCs w:val="20"/>
        </w:rPr>
        <w:t xml:space="preserve">ahvil piyasasındaki faiz oranı </w:t>
      </w:r>
      <w:r w:rsidR="00C34A8D">
        <w:rPr>
          <w:sz w:val="20"/>
          <w:szCs w:val="20"/>
        </w:rPr>
        <w:t xml:space="preserve">son günlerde </w:t>
      </w:r>
      <w:r w:rsidRPr="00D914ED">
        <w:rPr>
          <w:b/>
          <w:sz w:val="20"/>
          <w:szCs w:val="20"/>
        </w:rPr>
        <w:t>% 17.</w:t>
      </w:r>
      <w:r w:rsidR="00014DFE">
        <w:rPr>
          <w:b/>
          <w:sz w:val="20"/>
          <w:szCs w:val="20"/>
        </w:rPr>
        <w:t>8</w:t>
      </w:r>
      <w:r w:rsidR="00AC3C14">
        <w:rPr>
          <w:b/>
          <w:sz w:val="20"/>
          <w:szCs w:val="20"/>
        </w:rPr>
        <w:t>0</w:t>
      </w:r>
      <w:r w:rsidRPr="00D914ED">
        <w:rPr>
          <w:b/>
          <w:sz w:val="20"/>
          <w:szCs w:val="20"/>
        </w:rPr>
        <w:t xml:space="preserve"> düzeyin</w:t>
      </w:r>
      <w:r w:rsidR="009F0754">
        <w:rPr>
          <w:b/>
          <w:sz w:val="20"/>
          <w:szCs w:val="20"/>
        </w:rPr>
        <w:t>e çıktı.</w:t>
      </w:r>
    </w:p>
    <w:p w:rsidR="00D914ED" w:rsidRPr="00D914ED" w:rsidRDefault="00D914ED" w:rsidP="00D914ED">
      <w:pPr>
        <w:pStyle w:val="ListeParagraf"/>
        <w:tabs>
          <w:tab w:val="left" w:pos="284"/>
          <w:tab w:val="left" w:pos="993"/>
        </w:tabs>
        <w:spacing w:after="200" w:line="360" w:lineRule="auto"/>
        <w:ind w:left="0"/>
        <w:jc w:val="both"/>
        <w:rPr>
          <w:sz w:val="20"/>
          <w:szCs w:val="20"/>
        </w:rPr>
      </w:pPr>
      <w:r w:rsidRPr="00D914ED">
        <w:rPr>
          <w:sz w:val="20"/>
          <w:szCs w:val="20"/>
        </w:rPr>
        <w:tab/>
        <w:t xml:space="preserve">Tabii, TCMB’nın ve tahvil piyasasındaki faiz oranının yüksek olması ticari faizlerdeki faiz oranlarının da yükselmesine sebep olmaktadır. </w:t>
      </w:r>
      <w:r w:rsidR="009F0754">
        <w:rPr>
          <w:sz w:val="20"/>
          <w:szCs w:val="20"/>
        </w:rPr>
        <w:t>Önümüzdeki günlerde d</w:t>
      </w:r>
      <w:r w:rsidR="00950429">
        <w:rPr>
          <w:sz w:val="20"/>
          <w:szCs w:val="20"/>
        </w:rPr>
        <w:t>aha önce</w:t>
      </w:r>
      <w:r w:rsidRPr="00D914ED">
        <w:rPr>
          <w:sz w:val="20"/>
          <w:szCs w:val="20"/>
        </w:rPr>
        <w:t xml:space="preserve"> Bankaların uyguladığı </w:t>
      </w:r>
      <w:r w:rsidR="00950429">
        <w:rPr>
          <w:sz w:val="20"/>
          <w:szCs w:val="20"/>
        </w:rPr>
        <w:t xml:space="preserve">% 18-19 düzeyindeki </w:t>
      </w:r>
      <w:r w:rsidRPr="00D914ED">
        <w:rPr>
          <w:sz w:val="20"/>
          <w:szCs w:val="20"/>
        </w:rPr>
        <w:t>ticari faiz oranı</w:t>
      </w:r>
      <w:r w:rsidR="00014DFE">
        <w:rPr>
          <w:sz w:val="20"/>
          <w:szCs w:val="20"/>
        </w:rPr>
        <w:t>nın</w:t>
      </w:r>
      <w:r w:rsidRPr="00D914ED">
        <w:rPr>
          <w:sz w:val="20"/>
          <w:szCs w:val="20"/>
        </w:rPr>
        <w:t xml:space="preserve"> </w:t>
      </w:r>
      <w:r w:rsidR="00950429">
        <w:rPr>
          <w:sz w:val="20"/>
          <w:szCs w:val="20"/>
        </w:rPr>
        <w:t>çok daha yüksek olaca</w:t>
      </w:r>
      <w:r w:rsidR="009F0754">
        <w:rPr>
          <w:sz w:val="20"/>
          <w:szCs w:val="20"/>
        </w:rPr>
        <w:t xml:space="preserve">ğı görülecektir. </w:t>
      </w:r>
      <w:r w:rsidRPr="00D914ED">
        <w:rPr>
          <w:sz w:val="20"/>
          <w:szCs w:val="20"/>
        </w:rPr>
        <w:t>Bu faiz oranı ile esnafın, iş adamının iş kurup çalışması, hatta mevcut işini sürdürebilmesi çok zor. Bu durumun ortaya çıkardığı sonuç bankaların karlarının artması, vatandaşın ise mağdur edilmesi, ezilmesidir</w:t>
      </w:r>
    </w:p>
    <w:p w:rsidR="00A73C01" w:rsidRDefault="00A73C01" w:rsidP="00D914ED">
      <w:pPr>
        <w:pStyle w:val="ListeParagraf"/>
        <w:tabs>
          <w:tab w:val="left" w:pos="284"/>
          <w:tab w:val="left" w:pos="993"/>
        </w:tabs>
        <w:spacing w:after="200" w:line="360" w:lineRule="auto"/>
        <w:ind w:left="0"/>
        <w:jc w:val="both"/>
        <w:rPr>
          <w:sz w:val="20"/>
          <w:szCs w:val="20"/>
        </w:rPr>
      </w:pPr>
    </w:p>
    <w:p w:rsidR="00757918" w:rsidRDefault="003242FB" w:rsidP="00757918">
      <w:pPr>
        <w:pStyle w:val="ListeParagraf"/>
        <w:numPr>
          <w:ilvl w:val="0"/>
          <w:numId w:val="1"/>
        </w:numPr>
        <w:tabs>
          <w:tab w:val="left" w:pos="284"/>
          <w:tab w:val="left" w:pos="993"/>
        </w:tabs>
        <w:spacing w:after="200" w:line="360" w:lineRule="auto"/>
        <w:ind w:left="0" w:firstLine="0"/>
        <w:jc w:val="both"/>
        <w:rPr>
          <w:sz w:val="20"/>
          <w:szCs w:val="20"/>
        </w:rPr>
      </w:pPr>
      <w:r w:rsidRPr="00757918">
        <w:rPr>
          <w:b/>
          <w:sz w:val="20"/>
          <w:szCs w:val="20"/>
        </w:rPr>
        <w:t xml:space="preserve">Borçlar. </w:t>
      </w:r>
      <w:r w:rsidR="007E6640" w:rsidRPr="00757918">
        <w:rPr>
          <w:sz w:val="20"/>
          <w:szCs w:val="20"/>
        </w:rPr>
        <w:t xml:space="preserve">Borçlarla ilgili 2017 yılına ait verilerin </w:t>
      </w:r>
      <w:r w:rsidR="00757918" w:rsidRPr="00757918">
        <w:rPr>
          <w:sz w:val="20"/>
          <w:szCs w:val="20"/>
        </w:rPr>
        <w:t>4</w:t>
      </w:r>
      <w:r w:rsidR="007E6640" w:rsidRPr="00757918">
        <w:rPr>
          <w:sz w:val="20"/>
          <w:szCs w:val="20"/>
        </w:rPr>
        <w:t xml:space="preserve">. çeyrek rakamları </w:t>
      </w:r>
      <w:r w:rsidR="00757918" w:rsidRPr="00757918">
        <w:rPr>
          <w:sz w:val="20"/>
          <w:szCs w:val="20"/>
        </w:rPr>
        <w:t>30</w:t>
      </w:r>
      <w:r w:rsidR="007E6640" w:rsidRPr="00757918">
        <w:rPr>
          <w:sz w:val="20"/>
          <w:szCs w:val="20"/>
        </w:rPr>
        <w:t>.</w:t>
      </w:r>
      <w:r w:rsidR="00757918" w:rsidRPr="00757918">
        <w:rPr>
          <w:sz w:val="20"/>
          <w:szCs w:val="20"/>
        </w:rPr>
        <w:t>03</w:t>
      </w:r>
      <w:r w:rsidR="007E6640" w:rsidRPr="00757918">
        <w:rPr>
          <w:sz w:val="20"/>
          <w:szCs w:val="20"/>
        </w:rPr>
        <w:t>.201</w:t>
      </w:r>
      <w:r w:rsidR="00757918" w:rsidRPr="00757918">
        <w:rPr>
          <w:sz w:val="20"/>
          <w:szCs w:val="20"/>
        </w:rPr>
        <w:t>8</w:t>
      </w:r>
      <w:r w:rsidR="007E6640" w:rsidRPr="00757918">
        <w:rPr>
          <w:sz w:val="20"/>
          <w:szCs w:val="20"/>
        </w:rPr>
        <w:t>’de açıklan</w:t>
      </w:r>
      <w:r w:rsidR="00757918" w:rsidRPr="00757918">
        <w:rPr>
          <w:sz w:val="20"/>
          <w:szCs w:val="20"/>
        </w:rPr>
        <w:t>dı.</w:t>
      </w:r>
      <w:r w:rsidR="00757918">
        <w:rPr>
          <w:sz w:val="20"/>
          <w:szCs w:val="20"/>
        </w:rPr>
        <w:t xml:space="preserve"> </w:t>
      </w:r>
      <w:r w:rsidR="00BE4573">
        <w:rPr>
          <w:sz w:val="20"/>
          <w:szCs w:val="20"/>
        </w:rPr>
        <w:t xml:space="preserve">Biz </w:t>
      </w:r>
      <w:r w:rsidR="00022E10">
        <w:rPr>
          <w:sz w:val="20"/>
          <w:szCs w:val="20"/>
        </w:rPr>
        <w:t xml:space="preserve">07 Nisan 2018’de </w:t>
      </w:r>
      <w:r w:rsidR="00AD3C5B">
        <w:rPr>
          <w:sz w:val="20"/>
          <w:szCs w:val="20"/>
        </w:rPr>
        <w:t xml:space="preserve">sizlere sunduğumuz </w:t>
      </w:r>
      <w:r w:rsidR="00BE4573">
        <w:rPr>
          <w:sz w:val="20"/>
          <w:szCs w:val="20"/>
        </w:rPr>
        <w:t xml:space="preserve">Mart 2018’e </w:t>
      </w:r>
      <w:r w:rsidR="000E1BD5">
        <w:rPr>
          <w:sz w:val="20"/>
          <w:szCs w:val="20"/>
        </w:rPr>
        <w:t xml:space="preserve">ait </w:t>
      </w:r>
      <w:r w:rsidR="00BE4573">
        <w:rPr>
          <w:sz w:val="20"/>
          <w:szCs w:val="20"/>
        </w:rPr>
        <w:t xml:space="preserve">raporumuzda konu ile ilgili Hazine Müsteşarlığının rakamlarını vermiş ve kısa açıklamalar yapmıştık. </w:t>
      </w:r>
      <w:r w:rsidR="000E1BD5">
        <w:rPr>
          <w:sz w:val="20"/>
          <w:szCs w:val="20"/>
        </w:rPr>
        <w:t xml:space="preserve">2018 yılının 1. çeyreğine ait veriler </w:t>
      </w:r>
      <w:r w:rsidR="003714EF">
        <w:rPr>
          <w:sz w:val="20"/>
          <w:szCs w:val="20"/>
        </w:rPr>
        <w:t>29.06.2018’de açıklanacak.</w:t>
      </w:r>
      <w:r w:rsidR="000E1BD5">
        <w:rPr>
          <w:sz w:val="20"/>
          <w:szCs w:val="20"/>
        </w:rPr>
        <w:t xml:space="preserve"> </w:t>
      </w:r>
      <w:r w:rsidR="00BE4573">
        <w:rPr>
          <w:sz w:val="20"/>
          <w:szCs w:val="20"/>
        </w:rPr>
        <w:t xml:space="preserve">24 Haziran 2018’de yapılacak seçimlerde teşkilatlarımızın elinde bulunmasını temin açısından Mart 2018’e </w:t>
      </w:r>
      <w:r w:rsidR="000E1BD5">
        <w:rPr>
          <w:sz w:val="20"/>
          <w:szCs w:val="20"/>
        </w:rPr>
        <w:t xml:space="preserve">ait </w:t>
      </w:r>
      <w:r w:rsidR="00BE4573">
        <w:rPr>
          <w:sz w:val="20"/>
          <w:szCs w:val="20"/>
        </w:rPr>
        <w:t xml:space="preserve">borçlarla ilgili olarak verdiğimiz bilgileri </w:t>
      </w:r>
      <w:r w:rsidR="000E1BD5">
        <w:rPr>
          <w:sz w:val="20"/>
          <w:szCs w:val="20"/>
        </w:rPr>
        <w:t xml:space="preserve">ilave açıklamalarla </w:t>
      </w:r>
      <w:r w:rsidR="003714EF">
        <w:rPr>
          <w:sz w:val="20"/>
          <w:szCs w:val="20"/>
        </w:rPr>
        <w:t xml:space="preserve">birlikte </w:t>
      </w:r>
      <w:r w:rsidR="00BE4573">
        <w:rPr>
          <w:sz w:val="20"/>
          <w:szCs w:val="20"/>
        </w:rPr>
        <w:t xml:space="preserve">bu raporumuzda da veriyoruz. </w:t>
      </w:r>
      <w:r w:rsidR="00757918" w:rsidRPr="00757918">
        <w:rPr>
          <w:sz w:val="20"/>
          <w:szCs w:val="20"/>
        </w:rPr>
        <w:t xml:space="preserve">Ülkemizin 2002 ile 2016 </w:t>
      </w:r>
      <w:r w:rsidR="00757918">
        <w:rPr>
          <w:sz w:val="20"/>
          <w:szCs w:val="20"/>
        </w:rPr>
        <w:t xml:space="preserve">ve 2017 </w:t>
      </w:r>
      <w:r w:rsidR="00757918" w:rsidRPr="00757918">
        <w:rPr>
          <w:sz w:val="20"/>
          <w:szCs w:val="20"/>
        </w:rPr>
        <w:t>yıllarındaki borç durumu şöyledir: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1756"/>
        <w:gridCol w:w="1818"/>
        <w:gridCol w:w="1970"/>
        <w:gridCol w:w="1901"/>
      </w:tblGrid>
      <w:tr w:rsidR="00757918" w:rsidRPr="004D3231" w:rsidTr="00A10FB5">
        <w:trPr>
          <w:trHeight w:val="522"/>
        </w:trPr>
        <w:tc>
          <w:tcPr>
            <w:tcW w:w="1843" w:type="dxa"/>
            <w:tcBorders>
              <w:top w:val="single" w:sz="4" w:space="0" w:color="auto"/>
              <w:left w:val="single" w:sz="4" w:space="0" w:color="auto"/>
              <w:bottom w:val="single" w:sz="4" w:space="0" w:color="auto"/>
              <w:right w:val="single" w:sz="4" w:space="0" w:color="auto"/>
            </w:tcBorders>
          </w:tcPr>
          <w:p w:rsidR="00757918" w:rsidRPr="0032482C" w:rsidRDefault="00757918" w:rsidP="00A10FB5">
            <w:pPr>
              <w:jc w:val="center"/>
              <w:rPr>
                <w:rFonts w:ascii="Arial" w:hAnsi="Arial" w:cs="Arial"/>
                <w:b/>
                <w:sz w:val="18"/>
                <w:szCs w:val="18"/>
              </w:rPr>
            </w:pPr>
          </w:p>
          <w:p w:rsidR="00757918" w:rsidRPr="0032482C" w:rsidRDefault="00757918" w:rsidP="00A10FB5">
            <w:pPr>
              <w:jc w:val="center"/>
              <w:rPr>
                <w:rFonts w:ascii="Arial" w:hAnsi="Arial" w:cs="Arial"/>
                <w:sz w:val="18"/>
                <w:szCs w:val="18"/>
              </w:rPr>
            </w:pPr>
            <w:r w:rsidRPr="0032482C">
              <w:rPr>
                <w:rFonts w:ascii="Arial" w:hAnsi="Arial" w:cs="Arial"/>
                <w:b/>
                <w:sz w:val="18"/>
                <w:szCs w:val="18"/>
              </w:rPr>
              <w:t>Yıl</w:t>
            </w:r>
          </w:p>
        </w:tc>
        <w:tc>
          <w:tcPr>
            <w:tcW w:w="1756" w:type="dxa"/>
            <w:tcBorders>
              <w:top w:val="single" w:sz="4" w:space="0" w:color="auto"/>
              <w:left w:val="single" w:sz="4" w:space="0" w:color="auto"/>
              <w:bottom w:val="single" w:sz="4" w:space="0" w:color="auto"/>
              <w:right w:val="single" w:sz="4" w:space="0" w:color="auto"/>
            </w:tcBorders>
          </w:tcPr>
          <w:p w:rsidR="00757918" w:rsidRPr="0032482C" w:rsidRDefault="00757918" w:rsidP="00A10FB5">
            <w:pPr>
              <w:jc w:val="center"/>
              <w:rPr>
                <w:rFonts w:ascii="Arial" w:hAnsi="Arial" w:cs="Arial"/>
                <w:b/>
                <w:sz w:val="18"/>
                <w:szCs w:val="18"/>
              </w:rPr>
            </w:pPr>
          </w:p>
          <w:p w:rsidR="00757918" w:rsidRPr="0032482C" w:rsidRDefault="00757918" w:rsidP="00A10FB5">
            <w:pPr>
              <w:jc w:val="center"/>
              <w:rPr>
                <w:rFonts w:ascii="Arial" w:hAnsi="Arial" w:cs="Arial"/>
                <w:b/>
                <w:sz w:val="18"/>
                <w:szCs w:val="18"/>
              </w:rPr>
            </w:pPr>
            <w:r w:rsidRPr="0032482C">
              <w:rPr>
                <w:rFonts w:ascii="Arial" w:hAnsi="Arial" w:cs="Arial"/>
                <w:b/>
                <w:sz w:val="18"/>
                <w:szCs w:val="18"/>
              </w:rPr>
              <w:t>Dış Borç</w:t>
            </w:r>
          </w:p>
          <w:p w:rsidR="00757918" w:rsidRDefault="00757918" w:rsidP="00A10FB5">
            <w:pPr>
              <w:jc w:val="center"/>
              <w:rPr>
                <w:rFonts w:ascii="Arial" w:hAnsi="Arial" w:cs="Arial"/>
                <w:b/>
                <w:sz w:val="18"/>
                <w:szCs w:val="18"/>
              </w:rPr>
            </w:pPr>
            <w:r w:rsidRPr="0032482C">
              <w:rPr>
                <w:rFonts w:ascii="Arial" w:hAnsi="Arial" w:cs="Arial"/>
                <w:b/>
                <w:sz w:val="18"/>
                <w:szCs w:val="18"/>
              </w:rPr>
              <w:t>(Milyar Dolar)</w:t>
            </w:r>
          </w:p>
          <w:p w:rsidR="00757918" w:rsidRPr="0032482C" w:rsidRDefault="00757918" w:rsidP="00A10FB5">
            <w:pPr>
              <w:jc w:val="center"/>
              <w:rPr>
                <w:rFonts w:ascii="Arial" w:hAnsi="Arial" w:cs="Arial"/>
                <w:sz w:val="18"/>
                <w:szCs w:val="18"/>
              </w:rPr>
            </w:pPr>
          </w:p>
        </w:tc>
        <w:tc>
          <w:tcPr>
            <w:tcW w:w="1818" w:type="dxa"/>
            <w:tcBorders>
              <w:top w:val="single" w:sz="4" w:space="0" w:color="auto"/>
              <w:left w:val="single" w:sz="4" w:space="0" w:color="auto"/>
              <w:bottom w:val="single" w:sz="4" w:space="0" w:color="auto"/>
              <w:right w:val="single" w:sz="4" w:space="0" w:color="auto"/>
            </w:tcBorders>
          </w:tcPr>
          <w:p w:rsidR="00757918" w:rsidRPr="0032482C" w:rsidRDefault="00757918" w:rsidP="00A10FB5">
            <w:pPr>
              <w:jc w:val="center"/>
              <w:rPr>
                <w:rFonts w:ascii="Arial" w:hAnsi="Arial" w:cs="Arial"/>
                <w:b/>
                <w:sz w:val="18"/>
                <w:szCs w:val="18"/>
              </w:rPr>
            </w:pPr>
          </w:p>
          <w:p w:rsidR="00757918" w:rsidRPr="0032482C" w:rsidRDefault="00757918" w:rsidP="00A10FB5">
            <w:pPr>
              <w:jc w:val="center"/>
              <w:rPr>
                <w:rFonts w:ascii="Arial" w:hAnsi="Arial" w:cs="Arial"/>
                <w:b/>
                <w:sz w:val="18"/>
                <w:szCs w:val="18"/>
              </w:rPr>
            </w:pPr>
            <w:r w:rsidRPr="0032482C">
              <w:rPr>
                <w:rFonts w:ascii="Arial" w:hAnsi="Arial" w:cs="Arial"/>
                <w:b/>
                <w:sz w:val="18"/>
                <w:szCs w:val="18"/>
              </w:rPr>
              <w:t>İç Borç</w:t>
            </w:r>
          </w:p>
          <w:p w:rsidR="00757918" w:rsidRPr="0032482C" w:rsidRDefault="00757918" w:rsidP="00A10FB5">
            <w:pPr>
              <w:jc w:val="center"/>
              <w:rPr>
                <w:rFonts w:ascii="Arial" w:hAnsi="Arial" w:cs="Arial"/>
                <w:b/>
                <w:sz w:val="18"/>
                <w:szCs w:val="18"/>
              </w:rPr>
            </w:pPr>
            <w:r w:rsidRPr="0032482C">
              <w:rPr>
                <w:rFonts w:ascii="Arial" w:hAnsi="Arial" w:cs="Arial"/>
                <w:b/>
                <w:sz w:val="18"/>
                <w:szCs w:val="18"/>
              </w:rPr>
              <w:t>(Milyar TL)</w:t>
            </w:r>
          </w:p>
        </w:tc>
        <w:tc>
          <w:tcPr>
            <w:tcW w:w="1970" w:type="dxa"/>
            <w:tcBorders>
              <w:top w:val="single" w:sz="4" w:space="0" w:color="auto"/>
              <w:left w:val="single" w:sz="4" w:space="0" w:color="auto"/>
              <w:bottom w:val="single" w:sz="4" w:space="0" w:color="auto"/>
              <w:right w:val="single" w:sz="4" w:space="0" w:color="auto"/>
            </w:tcBorders>
          </w:tcPr>
          <w:p w:rsidR="00757918" w:rsidRPr="0032482C" w:rsidRDefault="00757918" w:rsidP="00A10FB5">
            <w:pPr>
              <w:jc w:val="center"/>
              <w:rPr>
                <w:rFonts w:ascii="Arial" w:hAnsi="Arial" w:cs="Arial"/>
                <w:b/>
                <w:sz w:val="18"/>
                <w:szCs w:val="18"/>
              </w:rPr>
            </w:pPr>
          </w:p>
          <w:p w:rsidR="00757918" w:rsidRPr="0032482C" w:rsidRDefault="00757918" w:rsidP="00A10FB5">
            <w:pPr>
              <w:jc w:val="center"/>
              <w:rPr>
                <w:rFonts w:ascii="Arial" w:hAnsi="Arial" w:cs="Arial"/>
                <w:b/>
                <w:sz w:val="18"/>
                <w:szCs w:val="18"/>
              </w:rPr>
            </w:pPr>
            <w:r w:rsidRPr="0032482C">
              <w:rPr>
                <w:rFonts w:ascii="Arial" w:hAnsi="Arial" w:cs="Arial"/>
                <w:b/>
                <w:sz w:val="18"/>
                <w:szCs w:val="18"/>
              </w:rPr>
              <w:t xml:space="preserve">İç Borç* </w:t>
            </w:r>
          </w:p>
          <w:p w:rsidR="00757918" w:rsidRPr="0032482C" w:rsidRDefault="00757918" w:rsidP="00A10FB5">
            <w:pPr>
              <w:jc w:val="center"/>
              <w:rPr>
                <w:rFonts w:ascii="Arial" w:hAnsi="Arial" w:cs="Arial"/>
                <w:sz w:val="18"/>
                <w:szCs w:val="18"/>
              </w:rPr>
            </w:pPr>
            <w:r w:rsidRPr="0032482C">
              <w:rPr>
                <w:rFonts w:ascii="Arial" w:hAnsi="Arial" w:cs="Arial"/>
                <w:b/>
                <w:sz w:val="18"/>
                <w:szCs w:val="18"/>
              </w:rPr>
              <w:t>(Milyar Dolar)</w:t>
            </w:r>
          </w:p>
        </w:tc>
        <w:tc>
          <w:tcPr>
            <w:tcW w:w="1901" w:type="dxa"/>
            <w:tcBorders>
              <w:top w:val="single" w:sz="4" w:space="0" w:color="auto"/>
              <w:left w:val="single" w:sz="4" w:space="0" w:color="auto"/>
              <w:bottom w:val="single" w:sz="4" w:space="0" w:color="auto"/>
              <w:right w:val="single" w:sz="4" w:space="0" w:color="auto"/>
            </w:tcBorders>
          </w:tcPr>
          <w:p w:rsidR="00757918" w:rsidRPr="0032482C" w:rsidRDefault="00757918" w:rsidP="00A10FB5">
            <w:pPr>
              <w:jc w:val="center"/>
              <w:rPr>
                <w:rFonts w:ascii="Arial" w:hAnsi="Arial" w:cs="Arial"/>
                <w:b/>
                <w:sz w:val="18"/>
                <w:szCs w:val="18"/>
              </w:rPr>
            </w:pPr>
          </w:p>
          <w:p w:rsidR="00757918" w:rsidRPr="0032482C" w:rsidRDefault="00757918" w:rsidP="00A10FB5">
            <w:pPr>
              <w:jc w:val="center"/>
              <w:rPr>
                <w:rFonts w:ascii="Arial" w:hAnsi="Arial" w:cs="Arial"/>
                <w:b/>
                <w:sz w:val="18"/>
                <w:szCs w:val="18"/>
              </w:rPr>
            </w:pPr>
            <w:r w:rsidRPr="0032482C">
              <w:rPr>
                <w:rFonts w:ascii="Arial" w:hAnsi="Arial" w:cs="Arial"/>
                <w:b/>
                <w:sz w:val="18"/>
                <w:szCs w:val="18"/>
              </w:rPr>
              <w:t>Toplam Borç</w:t>
            </w:r>
          </w:p>
          <w:p w:rsidR="00757918" w:rsidRPr="0032482C" w:rsidRDefault="00757918" w:rsidP="00A10FB5">
            <w:pPr>
              <w:jc w:val="center"/>
              <w:rPr>
                <w:rFonts w:ascii="Arial" w:hAnsi="Arial" w:cs="Arial"/>
                <w:sz w:val="18"/>
                <w:szCs w:val="18"/>
              </w:rPr>
            </w:pPr>
            <w:r w:rsidRPr="0032482C">
              <w:rPr>
                <w:rFonts w:ascii="Arial" w:hAnsi="Arial" w:cs="Arial"/>
                <w:b/>
                <w:sz w:val="18"/>
                <w:szCs w:val="18"/>
              </w:rPr>
              <w:t>(Milyar</w:t>
            </w:r>
            <w:r w:rsidRPr="0032482C">
              <w:rPr>
                <w:rFonts w:ascii="Arial" w:hAnsi="Arial" w:cs="Arial"/>
                <w:sz w:val="18"/>
                <w:szCs w:val="18"/>
              </w:rPr>
              <w:t xml:space="preserve"> </w:t>
            </w:r>
            <w:r w:rsidRPr="0032482C">
              <w:rPr>
                <w:rFonts w:ascii="Arial" w:hAnsi="Arial" w:cs="Arial"/>
                <w:b/>
                <w:sz w:val="18"/>
                <w:szCs w:val="18"/>
              </w:rPr>
              <w:t>Dolar)</w:t>
            </w:r>
          </w:p>
        </w:tc>
      </w:tr>
      <w:tr w:rsidR="00757918" w:rsidRPr="004D3231" w:rsidTr="00A10FB5">
        <w:trPr>
          <w:trHeight w:val="354"/>
        </w:trPr>
        <w:tc>
          <w:tcPr>
            <w:tcW w:w="1843" w:type="dxa"/>
            <w:tcBorders>
              <w:top w:val="single" w:sz="4" w:space="0" w:color="auto"/>
              <w:left w:val="single" w:sz="4" w:space="0" w:color="auto"/>
              <w:bottom w:val="single" w:sz="4" w:space="0" w:color="auto"/>
              <w:right w:val="single" w:sz="4" w:space="0" w:color="auto"/>
            </w:tcBorders>
          </w:tcPr>
          <w:p w:rsidR="00757918" w:rsidRDefault="00757918" w:rsidP="00A10FB5">
            <w:pPr>
              <w:jc w:val="center"/>
              <w:rPr>
                <w:rFonts w:ascii="Arial" w:hAnsi="Arial" w:cs="Arial"/>
                <w:sz w:val="20"/>
                <w:szCs w:val="20"/>
              </w:rPr>
            </w:pPr>
          </w:p>
          <w:p w:rsidR="00757918" w:rsidRPr="004D3231" w:rsidRDefault="00757918" w:rsidP="00A10FB5">
            <w:pPr>
              <w:jc w:val="center"/>
              <w:rPr>
                <w:rFonts w:ascii="Arial" w:hAnsi="Arial" w:cs="Arial"/>
                <w:sz w:val="20"/>
                <w:szCs w:val="20"/>
              </w:rPr>
            </w:pPr>
            <w:r w:rsidRPr="004D3231">
              <w:rPr>
                <w:rFonts w:ascii="Arial" w:hAnsi="Arial" w:cs="Arial"/>
                <w:sz w:val="20"/>
                <w:szCs w:val="20"/>
              </w:rPr>
              <w:t>2002</w:t>
            </w:r>
          </w:p>
        </w:tc>
        <w:tc>
          <w:tcPr>
            <w:tcW w:w="1756" w:type="dxa"/>
            <w:tcBorders>
              <w:top w:val="single" w:sz="4" w:space="0" w:color="auto"/>
              <w:left w:val="single" w:sz="4" w:space="0" w:color="auto"/>
              <w:bottom w:val="single" w:sz="4" w:space="0" w:color="auto"/>
              <w:right w:val="single" w:sz="4" w:space="0" w:color="auto"/>
            </w:tcBorders>
          </w:tcPr>
          <w:p w:rsidR="00757918" w:rsidRDefault="00757918" w:rsidP="00A10FB5">
            <w:pPr>
              <w:jc w:val="center"/>
              <w:rPr>
                <w:rFonts w:ascii="Arial" w:hAnsi="Arial" w:cs="Arial"/>
                <w:sz w:val="20"/>
                <w:szCs w:val="20"/>
              </w:rPr>
            </w:pPr>
          </w:p>
          <w:p w:rsidR="00757918" w:rsidRPr="004D3231" w:rsidRDefault="00757918" w:rsidP="00A10FB5">
            <w:pPr>
              <w:jc w:val="center"/>
              <w:rPr>
                <w:rFonts w:ascii="Arial" w:hAnsi="Arial" w:cs="Arial"/>
                <w:sz w:val="20"/>
                <w:szCs w:val="20"/>
              </w:rPr>
            </w:pPr>
            <w:r w:rsidRPr="004D3231">
              <w:rPr>
                <w:rFonts w:ascii="Arial" w:hAnsi="Arial" w:cs="Arial"/>
                <w:sz w:val="20"/>
                <w:szCs w:val="20"/>
              </w:rPr>
              <w:t>129.6</w:t>
            </w:r>
          </w:p>
        </w:tc>
        <w:tc>
          <w:tcPr>
            <w:tcW w:w="1818" w:type="dxa"/>
            <w:tcBorders>
              <w:top w:val="single" w:sz="4" w:space="0" w:color="auto"/>
              <w:left w:val="single" w:sz="4" w:space="0" w:color="auto"/>
              <w:bottom w:val="single" w:sz="4" w:space="0" w:color="auto"/>
              <w:right w:val="single" w:sz="4" w:space="0" w:color="auto"/>
            </w:tcBorders>
          </w:tcPr>
          <w:p w:rsidR="00757918" w:rsidRDefault="00757918" w:rsidP="00A10FB5">
            <w:pPr>
              <w:jc w:val="center"/>
              <w:rPr>
                <w:rFonts w:ascii="Arial" w:hAnsi="Arial" w:cs="Arial"/>
                <w:sz w:val="20"/>
                <w:szCs w:val="20"/>
              </w:rPr>
            </w:pPr>
          </w:p>
          <w:p w:rsidR="00757918" w:rsidRPr="004D3231" w:rsidRDefault="00757918" w:rsidP="00A10FB5">
            <w:pPr>
              <w:jc w:val="center"/>
              <w:rPr>
                <w:rFonts w:ascii="Arial" w:hAnsi="Arial" w:cs="Arial"/>
                <w:sz w:val="20"/>
                <w:szCs w:val="20"/>
              </w:rPr>
            </w:pPr>
            <w:r w:rsidRPr="004D3231">
              <w:rPr>
                <w:rFonts w:ascii="Arial" w:hAnsi="Arial" w:cs="Arial"/>
                <w:sz w:val="20"/>
                <w:szCs w:val="20"/>
              </w:rPr>
              <w:t>155.2</w:t>
            </w:r>
          </w:p>
        </w:tc>
        <w:tc>
          <w:tcPr>
            <w:tcW w:w="1970" w:type="dxa"/>
            <w:tcBorders>
              <w:top w:val="single" w:sz="4" w:space="0" w:color="auto"/>
              <w:left w:val="single" w:sz="4" w:space="0" w:color="auto"/>
              <w:bottom w:val="single" w:sz="4" w:space="0" w:color="auto"/>
              <w:right w:val="single" w:sz="4" w:space="0" w:color="auto"/>
            </w:tcBorders>
          </w:tcPr>
          <w:p w:rsidR="00757918" w:rsidRDefault="00757918" w:rsidP="00A10FB5">
            <w:pPr>
              <w:jc w:val="center"/>
              <w:rPr>
                <w:rFonts w:ascii="Arial" w:hAnsi="Arial" w:cs="Arial"/>
                <w:sz w:val="20"/>
                <w:szCs w:val="20"/>
              </w:rPr>
            </w:pPr>
            <w:r w:rsidRPr="004D3231">
              <w:rPr>
                <w:rFonts w:ascii="Arial" w:hAnsi="Arial" w:cs="Arial"/>
                <w:sz w:val="20"/>
                <w:szCs w:val="20"/>
              </w:rPr>
              <w:t xml:space="preserve">  </w:t>
            </w:r>
          </w:p>
          <w:p w:rsidR="00757918" w:rsidRPr="004D3231" w:rsidRDefault="00757918" w:rsidP="00A10FB5">
            <w:pPr>
              <w:jc w:val="center"/>
              <w:rPr>
                <w:rFonts w:ascii="Arial" w:hAnsi="Arial" w:cs="Arial"/>
                <w:sz w:val="20"/>
                <w:szCs w:val="20"/>
              </w:rPr>
            </w:pPr>
            <w:r>
              <w:rPr>
                <w:rFonts w:ascii="Arial" w:hAnsi="Arial" w:cs="Arial"/>
                <w:sz w:val="20"/>
                <w:szCs w:val="20"/>
              </w:rPr>
              <w:t xml:space="preserve"> </w:t>
            </w:r>
            <w:r w:rsidRPr="004D3231">
              <w:rPr>
                <w:rFonts w:ascii="Arial" w:hAnsi="Arial" w:cs="Arial"/>
                <w:sz w:val="20"/>
                <w:szCs w:val="20"/>
              </w:rPr>
              <w:t>102.6</w:t>
            </w:r>
          </w:p>
        </w:tc>
        <w:tc>
          <w:tcPr>
            <w:tcW w:w="1901" w:type="dxa"/>
            <w:tcBorders>
              <w:top w:val="single" w:sz="4" w:space="0" w:color="auto"/>
              <w:left w:val="single" w:sz="4" w:space="0" w:color="auto"/>
              <w:bottom w:val="single" w:sz="4" w:space="0" w:color="auto"/>
              <w:right w:val="single" w:sz="4" w:space="0" w:color="auto"/>
            </w:tcBorders>
          </w:tcPr>
          <w:p w:rsidR="00757918" w:rsidRDefault="00757918" w:rsidP="00A10FB5">
            <w:pPr>
              <w:jc w:val="center"/>
              <w:rPr>
                <w:rFonts w:ascii="Arial" w:hAnsi="Arial" w:cs="Arial"/>
                <w:sz w:val="20"/>
                <w:szCs w:val="20"/>
              </w:rPr>
            </w:pPr>
          </w:p>
          <w:p w:rsidR="00757918" w:rsidRPr="004D3231" w:rsidRDefault="00757918" w:rsidP="00A10FB5">
            <w:pPr>
              <w:jc w:val="center"/>
              <w:rPr>
                <w:rFonts w:ascii="Arial" w:hAnsi="Arial" w:cs="Arial"/>
                <w:sz w:val="20"/>
                <w:szCs w:val="20"/>
              </w:rPr>
            </w:pPr>
            <w:r w:rsidRPr="004D3231">
              <w:rPr>
                <w:rFonts w:ascii="Arial" w:hAnsi="Arial" w:cs="Arial"/>
                <w:sz w:val="20"/>
                <w:szCs w:val="20"/>
              </w:rPr>
              <w:t>232.2</w:t>
            </w:r>
          </w:p>
        </w:tc>
      </w:tr>
      <w:tr w:rsidR="00757918" w:rsidRPr="004D3231" w:rsidTr="00A10FB5">
        <w:trPr>
          <w:trHeight w:val="303"/>
        </w:trPr>
        <w:tc>
          <w:tcPr>
            <w:tcW w:w="1843" w:type="dxa"/>
            <w:tcBorders>
              <w:top w:val="single" w:sz="4" w:space="0" w:color="auto"/>
              <w:left w:val="single" w:sz="4" w:space="0" w:color="auto"/>
              <w:bottom w:val="single" w:sz="4" w:space="0" w:color="auto"/>
              <w:right w:val="single" w:sz="4" w:space="0" w:color="auto"/>
            </w:tcBorders>
          </w:tcPr>
          <w:p w:rsidR="00757918" w:rsidRDefault="00757918" w:rsidP="00A10FB5">
            <w:pPr>
              <w:jc w:val="center"/>
              <w:rPr>
                <w:rFonts w:ascii="Arial" w:hAnsi="Arial" w:cs="Arial"/>
                <w:b/>
                <w:sz w:val="20"/>
                <w:szCs w:val="20"/>
              </w:rPr>
            </w:pPr>
          </w:p>
          <w:p w:rsidR="00757918" w:rsidRPr="004D3231" w:rsidRDefault="00757918" w:rsidP="00A10FB5">
            <w:pPr>
              <w:jc w:val="center"/>
              <w:rPr>
                <w:rFonts w:ascii="Arial" w:hAnsi="Arial" w:cs="Arial"/>
                <w:b/>
                <w:sz w:val="20"/>
                <w:szCs w:val="20"/>
              </w:rPr>
            </w:pPr>
            <w:r w:rsidRPr="004D3231">
              <w:rPr>
                <w:rFonts w:ascii="Arial" w:hAnsi="Arial" w:cs="Arial"/>
                <w:b/>
                <w:sz w:val="20"/>
                <w:szCs w:val="20"/>
              </w:rPr>
              <w:t xml:space="preserve">2016 </w:t>
            </w:r>
          </w:p>
        </w:tc>
        <w:tc>
          <w:tcPr>
            <w:tcW w:w="1756" w:type="dxa"/>
            <w:tcBorders>
              <w:top w:val="single" w:sz="4" w:space="0" w:color="auto"/>
              <w:left w:val="single" w:sz="4" w:space="0" w:color="auto"/>
              <w:bottom w:val="single" w:sz="4" w:space="0" w:color="auto"/>
              <w:right w:val="single" w:sz="4" w:space="0" w:color="auto"/>
            </w:tcBorders>
          </w:tcPr>
          <w:p w:rsidR="00757918" w:rsidRDefault="00757918" w:rsidP="00A10FB5">
            <w:pPr>
              <w:jc w:val="center"/>
              <w:rPr>
                <w:rFonts w:ascii="Arial" w:hAnsi="Arial" w:cs="Arial"/>
                <w:sz w:val="20"/>
                <w:szCs w:val="20"/>
              </w:rPr>
            </w:pPr>
          </w:p>
          <w:p w:rsidR="00757918" w:rsidRPr="004D3231" w:rsidRDefault="00757918" w:rsidP="00EE1387">
            <w:pPr>
              <w:jc w:val="center"/>
              <w:rPr>
                <w:rFonts w:ascii="Arial" w:hAnsi="Arial" w:cs="Arial"/>
                <w:sz w:val="20"/>
                <w:szCs w:val="20"/>
              </w:rPr>
            </w:pPr>
            <w:r>
              <w:rPr>
                <w:rFonts w:ascii="Arial" w:hAnsi="Arial" w:cs="Arial"/>
                <w:sz w:val="20"/>
                <w:szCs w:val="20"/>
              </w:rPr>
              <w:t>40</w:t>
            </w:r>
            <w:r w:rsidR="00EE1387">
              <w:rPr>
                <w:rFonts w:ascii="Arial" w:hAnsi="Arial" w:cs="Arial"/>
                <w:sz w:val="20"/>
                <w:szCs w:val="20"/>
              </w:rPr>
              <w:t>8</w:t>
            </w:r>
            <w:r>
              <w:rPr>
                <w:rFonts w:ascii="Arial" w:hAnsi="Arial" w:cs="Arial"/>
                <w:sz w:val="20"/>
                <w:szCs w:val="20"/>
              </w:rPr>
              <w:t>.</w:t>
            </w:r>
            <w:r w:rsidR="00EE1387">
              <w:rPr>
                <w:rFonts w:ascii="Arial" w:hAnsi="Arial" w:cs="Arial"/>
                <w:sz w:val="20"/>
                <w:szCs w:val="20"/>
              </w:rPr>
              <w:t>2</w:t>
            </w:r>
          </w:p>
        </w:tc>
        <w:tc>
          <w:tcPr>
            <w:tcW w:w="1818" w:type="dxa"/>
            <w:tcBorders>
              <w:top w:val="single" w:sz="4" w:space="0" w:color="auto"/>
              <w:left w:val="single" w:sz="4" w:space="0" w:color="auto"/>
              <w:bottom w:val="single" w:sz="4" w:space="0" w:color="auto"/>
              <w:right w:val="single" w:sz="4" w:space="0" w:color="auto"/>
            </w:tcBorders>
          </w:tcPr>
          <w:p w:rsidR="00757918" w:rsidRDefault="00757918" w:rsidP="00A10FB5">
            <w:pPr>
              <w:jc w:val="center"/>
              <w:rPr>
                <w:rFonts w:ascii="Arial" w:hAnsi="Arial" w:cs="Arial"/>
                <w:sz w:val="20"/>
                <w:szCs w:val="20"/>
              </w:rPr>
            </w:pPr>
          </w:p>
          <w:p w:rsidR="00757918" w:rsidRPr="004D3231" w:rsidRDefault="00757918" w:rsidP="00A10FB5">
            <w:pPr>
              <w:jc w:val="center"/>
              <w:rPr>
                <w:rFonts w:ascii="Arial" w:hAnsi="Arial" w:cs="Arial"/>
                <w:sz w:val="20"/>
                <w:szCs w:val="20"/>
              </w:rPr>
            </w:pPr>
            <w:r>
              <w:rPr>
                <w:rFonts w:ascii="Arial" w:hAnsi="Arial" w:cs="Arial"/>
                <w:sz w:val="20"/>
                <w:szCs w:val="20"/>
              </w:rPr>
              <w:t>514.7</w:t>
            </w:r>
          </w:p>
        </w:tc>
        <w:tc>
          <w:tcPr>
            <w:tcW w:w="1970" w:type="dxa"/>
            <w:tcBorders>
              <w:top w:val="single" w:sz="4" w:space="0" w:color="auto"/>
              <w:left w:val="single" w:sz="4" w:space="0" w:color="auto"/>
              <w:bottom w:val="single" w:sz="4" w:space="0" w:color="auto"/>
              <w:right w:val="single" w:sz="4" w:space="0" w:color="auto"/>
            </w:tcBorders>
          </w:tcPr>
          <w:p w:rsidR="00757918" w:rsidRDefault="00757918" w:rsidP="00A10FB5">
            <w:pPr>
              <w:jc w:val="center"/>
              <w:rPr>
                <w:rFonts w:ascii="Arial" w:hAnsi="Arial" w:cs="Arial"/>
                <w:sz w:val="20"/>
                <w:szCs w:val="20"/>
              </w:rPr>
            </w:pPr>
          </w:p>
          <w:p w:rsidR="00757918" w:rsidRPr="004D3231" w:rsidRDefault="00757918" w:rsidP="00A10FB5">
            <w:pPr>
              <w:jc w:val="center"/>
              <w:rPr>
                <w:rFonts w:ascii="Arial" w:hAnsi="Arial" w:cs="Arial"/>
                <w:sz w:val="20"/>
                <w:szCs w:val="20"/>
              </w:rPr>
            </w:pPr>
            <w:r>
              <w:rPr>
                <w:rFonts w:ascii="Arial" w:hAnsi="Arial" w:cs="Arial"/>
                <w:sz w:val="20"/>
                <w:szCs w:val="20"/>
              </w:rPr>
              <w:t xml:space="preserve"> 170.4</w:t>
            </w:r>
          </w:p>
        </w:tc>
        <w:tc>
          <w:tcPr>
            <w:tcW w:w="1901" w:type="dxa"/>
            <w:tcBorders>
              <w:top w:val="single" w:sz="4" w:space="0" w:color="auto"/>
              <w:left w:val="single" w:sz="4" w:space="0" w:color="auto"/>
              <w:bottom w:val="single" w:sz="4" w:space="0" w:color="auto"/>
              <w:right w:val="single" w:sz="4" w:space="0" w:color="auto"/>
            </w:tcBorders>
          </w:tcPr>
          <w:p w:rsidR="00757918" w:rsidRDefault="00757918" w:rsidP="00A10FB5">
            <w:pPr>
              <w:jc w:val="center"/>
              <w:rPr>
                <w:rFonts w:ascii="Arial" w:hAnsi="Arial" w:cs="Arial"/>
                <w:sz w:val="20"/>
                <w:szCs w:val="20"/>
              </w:rPr>
            </w:pPr>
          </w:p>
          <w:p w:rsidR="00757918" w:rsidRPr="004D3231" w:rsidRDefault="00757918" w:rsidP="00AB4AB6">
            <w:pPr>
              <w:jc w:val="center"/>
              <w:rPr>
                <w:rFonts w:ascii="Arial" w:hAnsi="Arial" w:cs="Arial"/>
                <w:sz w:val="20"/>
                <w:szCs w:val="20"/>
              </w:rPr>
            </w:pPr>
            <w:r>
              <w:rPr>
                <w:rFonts w:ascii="Arial" w:hAnsi="Arial" w:cs="Arial"/>
                <w:sz w:val="20"/>
                <w:szCs w:val="20"/>
              </w:rPr>
              <w:t>57</w:t>
            </w:r>
            <w:r w:rsidR="00EE1387">
              <w:rPr>
                <w:rFonts w:ascii="Arial" w:hAnsi="Arial" w:cs="Arial"/>
                <w:sz w:val="20"/>
                <w:szCs w:val="20"/>
              </w:rPr>
              <w:t>8</w:t>
            </w:r>
            <w:r>
              <w:rPr>
                <w:rFonts w:ascii="Arial" w:hAnsi="Arial" w:cs="Arial"/>
                <w:sz w:val="20"/>
                <w:szCs w:val="20"/>
              </w:rPr>
              <w:t>.</w:t>
            </w:r>
            <w:r w:rsidR="00AB4AB6">
              <w:rPr>
                <w:rFonts w:ascii="Arial" w:hAnsi="Arial" w:cs="Arial"/>
                <w:sz w:val="20"/>
                <w:szCs w:val="20"/>
              </w:rPr>
              <w:t>6</w:t>
            </w:r>
          </w:p>
        </w:tc>
      </w:tr>
      <w:tr w:rsidR="00757918" w:rsidRPr="004D3231" w:rsidTr="00A10FB5">
        <w:trPr>
          <w:trHeight w:val="428"/>
        </w:trPr>
        <w:tc>
          <w:tcPr>
            <w:tcW w:w="1843" w:type="dxa"/>
            <w:tcBorders>
              <w:top w:val="single" w:sz="4" w:space="0" w:color="auto"/>
              <w:left w:val="single" w:sz="4" w:space="0" w:color="auto"/>
              <w:bottom w:val="single" w:sz="4" w:space="0" w:color="auto"/>
              <w:right w:val="single" w:sz="4" w:space="0" w:color="auto"/>
            </w:tcBorders>
          </w:tcPr>
          <w:p w:rsidR="00757918" w:rsidRDefault="00757918" w:rsidP="00A10FB5">
            <w:pPr>
              <w:jc w:val="center"/>
              <w:rPr>
                <w:rFonts w:ascii="Arial" w:hAnsi="Arial" w:cs="Arial"/>
                <w:b/>
                <w:sz w:val="20"/>
                <w:szCs w:val="20"/>
              </w:rPr>
            </w:pPr>
          </w:p>
          <w:p w:rsidR="00757918" w:rsidRDefault="00757918" w:rsidP="00EE1387">
            <w:pPr>
              <w:jc w:val="center"/>
              <w:rPr>
                <w:rFonts w:ascii="Arial" w:hAnsi="Arial" w:cs="Arial"/>
                <w:b/>
                <w:sz w:val="20"/>
                <w:szCs w:val="20"/>
              </w:rPr>
            </w:pPr>
            <w:r>
              <w:rPr>
                <w:rFonts w:ascii="Arial" w:hAnsi="Arial" w:cs="Arial"/>
                <w:b/>
                <w:sz w:val="20"/>
                <w:szCs w:val="20"/>
              </w:rPr>
              <w:t>2017</w:t>
            </w:r>
          </w:p>
        </w:tc>
        <w:tc>
          <w:tcPr>
            <w:tcW w:w="1756" w:type="dxa"/>
            <w:tcBorders>
              <w:top w:val="single" w:sz="4" w:space="0" w:color="auto"/>
              <w:left w:val="single" w:sz="4" w:space="0" w:color="auto"/>
              <w:bottom w:val="single" w:sz="4" w:space="0" w:color="auto"/>
              <w:right w:val="single" w:sz="4" w:space="0" w:color="auto"/>
            </w:tcBorders>
          </w:tcPr>
          <w:p w:rsidR="00757918" w:rsidRDefault="00757918" w:rsidP="00A10FB5">
            <w:pPr>
              <w:jc w:val="center"/>
              <w:rPr>
                <w:rFonts w:ascii="Arial" w:hAnsi="Arial" w:cs="Arial"/>
                <w:sz w:val="20"/>
                <w:szCs w:val="20"/>
              </w:rPr>
            </w:pPr>
          </w:p>
          <w:p w:rsidR="00757918" w:rsidRDefault="00757918" w:rsidP="00EE1387">
            <w:pPr>
              <w:jc w:val="center"/>
              <w:rPr>
                <w:rFonts w:ascii="Arial" w:hAnsi="Arial" w:cs="Arial"/>
                <w:sz w:val="20"/>
                <w:szCs w:val="20"/>
              </w:rPr>
            </w:pPr>
            <w:r>
              <w:rPr>
                <w:rFonts w:ascii="Arial" w:hAnsi="Arial" w:cs="Arial"/>
                <w:sz w:val="20"/>
                <w:szCs w:val="20"/>
              </w:rPr>
              <w:t>4</w:t>
            </w:r>
            <w:r w:rsidR="00EE1387">
              <w:rPr>
                <w:rFonts w:ascii="Arial" w:hAnsi="Arial" w:cs="Arial"/>
                <w:sz w:val="20"/>
                <w:szCs w:val="20"/>
              </w:rPr>
              <w:t>53</w:t>
            </w:r>
            <w:r>
              <w:rPr>
                <w:rFonts w:ascii="Arial" w:hAnsi="Arial" w:cs="Arial"/>
                <w:sz w:val="20"/>
                <w:szCs w:val="20"/>
              </w:rPr>
              <w:t>.</w:t>
            </w:r>
            <w:r w:rsidR="00EE1387">
              <w:rPr>
                <w:rFonts w:ascii="Arial" w:hAnsi="Arial" w:cs="Arial"/>
                <w:sz w:val="20"/>
                <w:szCs w:val="20"/>
              </w:rPr>
              <w:t>2</w:t>
            </w:r>
          </w:p>
        </w:tc>
        <w:tc>
          <w:tcPr>
            <w:tcW w:w="1818" w:type="dxa"/>
            <w:tcBorders>
              <w:top w:val="single" w:sz="4" w:space="0" w:color="auto"/>
              <w:left w:val="single" w:sz="4" w:space="0" w:color="auto"/>
              <w:bottom w:val="single" w:sz="4" w:space="0" w:color="auto"/>
              <w:right w:val="single" w:sz="4" w:space="0" w:color="auto"/>
            </w:tcBorders>
          </w:tcPr>
          <w:p w:rsidR="00757918" w:rsidRDefault="00757918" w:rsidP="00A10FB5">
            <w:pPr>
              <w:jc w:val="center"/>
              <w:rPr>
                <w:rFonts w:ascii="Arial" w:hAnsi="Arial" w:cs="Arial"/>
                <w:sz w:val="20"/>
                <w:szCs w:val="20"/>
              </w:rPr>
            </w:pPr>
          </w:p>
          <w:p w:rsidR="00757918" w:rsidRDefault="00EE1387" w:rsidP="00A10FB5">
            <w:pPr>
              <w:jc w:val="center"/>
              <w:rPr>
                <w:rFonts w:ascii="Arial" w:hAnsi="Arial" w:cs="Arial"/>
                <w:sz w:val="20"/>
                <w:szCs w:val="20"/>
              </w:rPr>
            </w:pPr>
            <w:r>
              <w:rPr>
                <w:rFonts w:ascii="Arial" w:hAnsi="Arial" w:cs="Arial"/>
                <w:sz w:val="20"/>
                <w:szCs w:val="20"/>
              </w:rPr>
              <w:t>596.6</w:t>
            </w:r>
          </w:p>
        </w:tc>
        <w:tc>
          <w:tcPr>
            <w:tcW w:w="1970" w:type="dxa"/>
            <w:tcBorders>
              <w:top w:val="single" w:sz="4" w:space="0" w:color="auto"/>
              <w:left w:val="single" w:sz="4" w:space="0" w:color="auto"/>
              <w:bottom w:val="single" w:sz="4" w:space="0" w:color="auto"/>
              <w:right w:val="single" w:sz="4" w:space="0" w:color="auto"/>
            </w:tcBorders>
          </w:tcPr>
          <w:p w:rsidR="00757918" w:rsidRDefault="00757918" w:rsidP="00A10FB5">
            <w:pPr>
              <w:jc w:val="center"/>
              <w:rPr>
                <w:rFonts w:ascii="Arial" w:hAnsi="Arial" w:cs="Arial"/>
                <w:sz w:val="20"/>
                <w:szCs w:val="20"/>
              </w:rPr>
            </w:pPr>
          </w:p>
          <w:p w:rsidR="00757918" w:rsidRDefault="00757918" w:rsidP="00EE1387">
            <w:pPr>
              <w:jc w:val="center"/>
              <w:rPr>
                <w:rFonts w:ascii="Arial" w:hAnsi="Arial" w:cs="Arial"/>
                <w:sz w:val="20"/>
                <w:szCs w:val="20"/>
              </w:rPr>
            </w:pPr>
            <w:r>
              <w:rPr>
                <w:rFonts w:ascii="Arial" w:hAnsi="Arial" w:cs="Arial"/>
                <w:sz w:val="20"/>
                <w:szCs w:val="20"/>
              </w:rPr>
              <w:t xml:space="preserve">    16</w:t>
            </w:r>
            <w:r w:rsidR="00EE1387">
              <w:rPr>
                <w:rFonts w:ascii="Arial" w:hAnsi="Arial" w:cs="Arial"/>
                <w:sz w:val="20"/>
                <w:szCs w:val="20"/>
              </w:rPr>
              <w:t>3</w:t>
            </w:r>
            <w:r>
              <w:rPr>
                <w:rFonts w:ascii="Arial" w:hAnsi="Arial" w:cs="Arial"/>
                <w:sz w:val="20"/>
                <w:szCs w:val="20"/>
              </w:rPr>
              <w:t>.5**</w:t>
            </w:r>
          </w:p>
        </w:tc>
        <w:tc>
          <w:tcPr>
            <w:tcW w:w="1901" w:type="dxa"/>
            <w:tcBorders>
              <w:top w:val="single" w:sz="4" w:space="0" w:color="auto"/>
              <w:left w:val="single" w:sz="4" w:space="0" w:color="auto"/>
              <w:bottom w:val="single" w:sz="4" w:space="0" w:color="auto"/>
              <w:right w:val="single" w:sz="4" w:space="0" w:color="auto"/>
            </w:tcBorders>
          </w:tcPr>
          <w:p w:rsidR="00757918" w:rsidRDefault="00757918" w:rsidP="00A10FB5">
            <w:pPr>
              <w:jc w:val="center"/>
              <w:rPr>
                <w:rFonts w:ascii="Arial" w:hAnsi="Arial" w:cs="Arial"/>
                <w:sz w:val="20"/>
                <w:szCs w:val="20"/>
              </w:rPr>
            </w:pPr>
          </w:p>
          <w:p w:rsidR="00757918" w:rsidRDefault="00EE1387" w:rsidP="00A10FB5">
            <w:pPr>
              <w:jc w:val="center"/>
              <w:rPr>
                <w:rFonts w:ascii="Arial" w:hAnsi="Arial" w:cs="Arial"/>
                <w:sz w:val="20"/>
                <w:szCs w:val="20"/>
              </w:rPr>
            </w:pPr>
            <w:r>
              <w:rPr>
                <w:rFonts w:ascii="Arial" w:hAnsi="Arial" w:cs="Arial"/>
                <w:sz w:val="20"/>
                <w:szCs w:val="20"/>
              </w:rPr>
              <w:t>616.7</w:t>
            </w:r>
          </w:p>
        </w:tc>
      </w:tr>
    </w:tbl>
    <w:p w:rsidR="00757918" w:rsidRPr="009A6A86" w:rsidRDefault="00757918" w:rsidP="00757918">
      <w:pPr>
        <w:pStyle w:val="ListeParagraf"/>
        <w:spacing w:line="360" w:lineRule="auto"/>
        <w:ind w:left="-142" w:firstLine="142"/>
        <w:jc w:val="both"/>
        <w:rPr>
          <w:b/>
          <w:sz w:val="16"/>
          <w:szCs w:val="16"/>
        </w:rPr>
      </w:pPr>
      <w:r w:rsidRPr="004D3231">
        <w:rPr>
          <w:b/>
          <w:sz w:val="20"/>
          <w:szCs w:val="20"/>
        </w:rPr>
        <w:t xml:space="preserve"> </w:t>
      </w:r>
      <w:r w:rsidRPr="009A6A86">
        <w:rPr>
          <w:b/>
          <w:sz w:val="16"/>
          <w:szCs w:val="16"/>
        </w:rPr>
        <w:t xml:space="preserve"> *TL olarak verilen iç borç döviz kuruna bölünerek tarafımızdan hesaplanmıştır.</w:t>
      </w:r>
    </w:p>
    <w:p w:rsidR="00757918" w:rsidRDefault="00757918" w:rsidP="00757918">
      <w:pPr>
        <w:pStyle w:val="ListeParagraf"/>
        <w:spacing w:line="360" w:lineRule="auto"/>
        <w:ind w:left="-142" w:firstLine="142"/>
        <w:jc w:val="both"/>
        <w:rPr>
          <w:b/>
          <w:sz w:val="16"/>
          <w:szCs w:val="16"/>
        </w:rPr>
      </w:pPr>
      <w:r w:rsidRPr="009A6A86">
        <w:rPr>
          <w:b/>
          <w:sz w:val="16"/>
          <w:szCs w:val="16"/>
        </w:rPr>
        <w:t xml:space="preserve">** Dolar kurundaki aşırı yükselmeden dolayı </w:t>
      </w:r>
      <w:r>
        <w:rPr>
          <w:b/>
          <w:sz w:val="16"/>
          <w:szCs w:val="16"/>
        </w:rPr>
        <w:t>d</w:t>
      </w:r>
      <w:r w:rsidRPr="009A6A86">
        <w:rPr>
          <w:b/>
          <w:sz w:val="16"/>
          <w:szCs w:val="16"/>
        </w:rPr>
        <w:t>olar bazında İç Borç</w:t>
      </w:r>
      <w:r w:rsidR="00D22A2F">
        <w:rPr>
          <w:b/>
          <w:sz w:val="16"/>
          <w:szCs w:val="16"/>
        </w:rPr>
        <w:t xml:space="preserve"> bir önceki yıla göre </w:t>
      </w:r>
      <w:r w:rsidRPr="009A6A86">
        <w:rPr>
          <w:b/>
          <w:sz w:val="16"/>
          <w:szCs w:val="16"/>
        </w:rPr>
        <w:t>azalmıştır.</w:t>
      </w:r>
    </w:p>
    <w:p w:rsidR="00757918" w:rsidRPr="00776C66" w:rsidRDefault="00757918" w:rsidP="00757918">
      <w:pPr>
        <w:pStyle w:val="ListeParagraf"/>
        <w:spacing w:line="360" w:lineRule="auto"/>
        <w:ind w:left="-142" w:firstLine="142"/>
        <w:jc w:val="both"/>
        <w:rPr>
          <w:sz w:val="16"/>
          <w:szCs w:val="16"/>
        </w:rPr>
      </w:pPr>
    </w:p>
    <w:p w:rsidR="00757918" w:rsidRPr="004C5B2B" w:rsidRDefault="00757918" w:rsidP="00757918">
      <w:pPr>
        <w:pStyle w:val="ListeParagraf"/>
        <w:spacing w:line="360" w:lineRule="auto"/>
        <w:ind w:left="-142" w:firstLine="142"/>
        <w:jc w:val="both"/>
        <w:rPr>
          <w:b/>
          <w:sz w:val="20"/>
          <w:szCs w:val="20"/>
        </w:rPr>
      </w:pPr>
      <w:r w:rsidRPr="00776C66">
        <w:rPr>
          <w:sz w:val="16"/>
          <w:szCs w:val="16"/>
        </w:rPr>
        <w:tab/>
      </w:r>
      <w:r w:rsidRPr="00776C66">
        <w:rPr>
          <w:sz w:val="20"/>
          <w:szCs w:val="20"/>
        </w:rPr>
        <w:t>Görüldüğü gibi</w:t>
      </w:r>
      <w:r>
        <w:rPr>
          <w:sz w:val="20"/>
          <w:szCs w:val="20"/>
        </w:rPr>
        <w:t>,</w:t>
      </w:r>
      <w:r w:rsidRPr="00776C66">
        <w:rPr>
          <w:sz w:val="20"/>
          <w:szCs w:val="20"/>
        </w:rPr>
        <w:t xml:space="preserve"> </w:t>
      </w:r>
      <w:r>
        <w:rPr>
          <w:sz w:val="20"/>
          <w:szCs w:val="20"/>
        </w:rPr>
        <w:t xml:space="preserve">ülkemizin hem dış borcu hem de iç borcu yıllar itibari ile artmıştır. Toplam borcu da bu artışlara paralel olarak artmıştır. </w:t>
      </w:r>
      <w:r w:rsidRPr="004C5B2B">
        <w:rPr>
          <w:b/>
          <w:sz w:val="20"/>
          <w:szCs w:val="20"/>
        </w:rPr>
        <w:t xml:space="preserve">Öyle ki 2002’de 232.2 milyar dolar olan toplam borç miktarı 2016 </w:t>
      </w:r>
      <w:r w:rsidRPr="004C5B2B">
        <w:rPr>
          <w:b/>
          <w:sz w:val="20"/>
          <w:szCs w:val="20"/>
        </w:rPr>
        <w:lastRenderedPageBreak/>
        <w:t>yılında 57</w:t>
      </w:r>
      <w:r w:rsidR="00A55258" w:rsidRPr="004C5B2B">
        <w:rPr>
          <w:b/>
          <w:sz w:val="20"/>
          <w:szCs w:val="20"/>
        </w:rPr>
        <w:t>8</w:t>
      </w:r>
      <w:r w:rsidRPr="004C5B2B">
        <w:rPr>
          <w:b/>
          <w:sz w:val="20"/>
          <w:szCs w:val="20"/>
        </w:rPr>
        <w:t>.</w:t>
      </w:r>
      <w:r w:rsidR="00A55258" w:rsidRPr="004C5B2B">
        <w:rPr>
          <w:b/>
          <w:sz w:val="20"/>
          <w:szCs w:val="20"/>
        </w:rPr>
        <w:t>9</w:t>
      </w:r>
      <w:r w:rsidRPr="004C5B2B">
        <w:rPr>
          <w:b/>
          <w:sz w:val="20"/>
          <w:szCs w:val="20"/>
        </w:rPr>
        <w:t xml:space="preserve"> milyar dolara</w:t>
      </w:r>
      <w:r w:rsidR="00C25ED2" w:rsidRPr="004C5B2B">
        <w:rPr>
          <w:b/>
          <w:sz w:val="20"/>
          <w:szCs w:val="20"/>
        </w:rPr>
        <w:t>,</w:t>
      </w:r>
      <w:r w:rsidRPr="004C5B2B">
        <w:rPr>
          <w:b/>
          <w:sz w:val="20"/>
          <w:szCs w:val="20"/>
        </w:rPr>
        <w:t xml:space="preserve"> 2017 yılında da </w:t>
      </w:r>
      <w:r w:rsidR="00A55258" w:rsidRPr="004C5B2B">
        <w:rPr>
          <w:b/>
          <w:sz w:val="20"/>
          <w:szCs w:val="20"/>
        </w:rPr>
        <w:t>616.7</w:t>
      </w:r>
      <w:r w:rsidRPr="004C5B2B">
        <w:rPr>
          <w:b/>
          <w:sz w:val="20"/>
          <w:szCs w:val="20"/>
        </w:rPr>
        <w:t xml:space="preserve"> milyar dolara </w:t>
      </w:r>
      <w:r w:rsidR="00C25ED2" w:rsidRPr="004C5B2B">
        <w:rPr>
          <w:b/>
          <w:sz w:val="20"/>
          <w:szCs w:val="20"/>
        </w:rPr>
        <w:t>yükselmiştir.</w:t>
      </w:r>
      <w:r w:rsidR="0063486C" w:rsidRPr="004C5B2B">
        <w:rPr>
          <w:b/>
          <w:sz w:val="20"/>
          <w:szCs w:val="20"/>
        </w:rPr>
        <w:t xml:space="preserve"> Yani AK Parti yöneticileri</w:t>
      </w:r>
      <w:r w:rsidR="00F413AF" w:rsidRPr="004C5B2B">
        <w:rPr>
          <w:b/>
          <w:sz w:val="20"/>
          <w:szCs w:val="20"/>
        </w:rPr>
        <w:t>nin IMF’ye olan 23.5 milyar dolar borcu ödedik deyip, ülkemizin borçlarını</w:t>
      </w:r>
      <w:r w:rsidR="0063486C" w:rsidRPr="004C5B2B">
        <w:rPr>
          <w:b/>
          <w:sz w:val="20"/>
          <w:szCs w:val="20"/>
        </w:rPr>
        <w:t xml:space="preserve"> söylemese de AK Parti’nin iktidarda olduğu son 15 yılda Türkiye’nin toplam borcu % 165.6 artmıştır.</w:t>
      </w:r>
    </w:p>
    <w:p w:rsidR="00757918" w:rsidRDefault="00757918" w:rsidP="00757918">
      <w:pPr>
        <w:pStyle w:val="ListeParagraf"/>
        <w:spacing w:line="360" w:lineRule="auto"/>
        <w:ind w:left="-142" w:firstLine="142"/>
        <w:jc w:val="both"/>
        <w:rPr>
          <w:sz w:val="20"/>
          <w:szCs w:val="20"/>
        </w:rPr>
      </w:pPr>
      <w:r>
        <w:rPr>
          <w:b/>
          <w:sz w:val="16"/>
          <w:szCs w:val="16"/>
        </w:rPr>
        <w:tab/>
      </w:r>
      <w:r w:rsidRPr="004D3231">
        <w:rPr>
          <w:sz w:val="20"/>
          <w:szCs w:val="20"/>
        </w:rPr>
        <w:t xml:space="preserve">İç borçların tamamı </w:t>
      </w:r>
      <w:r>
        <w:rPr>
          <w:sz w:val="20"/>
          <w:szCs w:val="20"/>
        </w:rPr>
        <w:t>k</w:t>
      </w:r>
      <w:r w:rsidRPr="004D3231">
        <w:rPr>
          <w:sz w:val="20"/>
          <w:szCs w:val="20"/>
        </w:rPr>
        <w:t xml:space="preserve">amuya aittir. Dış borçların bir kısmı kamu sektörüne (Merkez Bankası dahil), bir kısmı da özel sektöre aittir. Kamu sektörüne ve özel sektöre ait dış borçların 2002 ile </w:t>
      </w:r>
      <w:r>
        <w:rPr>
          <w:sz w:val="20"/>
          <w:szCs w:val="20"/>
        </w:rPr>
        <w:t>2016</w:t>
      </w:r>
      <w:r w:rsidRPr="004D3231">
        <w:rPr>
          <w:sz w:val="20"/>
          <w:szCs w:val="20"/>
        </w:rPr>
        <w:t xml:space="preserve"> </w:t>
      </w:r>
      <w:r w:rsidR="00251BE5">
        <w:rPr>
          <w:sz w:val="20"/>
          <w:szCs w:val="20"/>
        </w:rPr>
        <w:t xml:space="preserve">ve </w:t>
      </w:r>
      <w:r>
        <w:rPr>
          <w:sz w:val="20"/>
          <w:szCs w:val="20"/>
        </w:rPr>
        <w:t xml:space="preserve">2017 </w:t>
      </w:r>
      <w:r w:rsidR="00251BE5">
        <w:rPr>
          <w:sz w:val="20"/>
          <w:szCs w:val="20"/>
        </w:rPr>
        <w:t>yıllarındaki</w:t>
      </w:r>
      <w:r>
        <w:rPr>
          <w:sz w:val="20"/>
          <w:szCs w:val="20"/>
        </w:rPr>
        <w:t xml:space="preserve"> durumu </w:t>
      </w:r>
      <w:r w:rsidRPr="004D3231">
        <w:rPr>
          <w:sz w:val="20"/>
          <w:szCs w:val="20"/>
        </w:rPr>
        <w:t>şöyledir:</w:t>
      </w:r>
    </w:p>
    <w:p w:rsidR="00757918" w:rsidRDefault="00757918" w:rsidP="00757918">
      <w:pPr>
        <w:pStyle w:val="ListeParagraf"/>
        <w:spacing w:line="360" w:lineRule="auto"/>
        <w:ind w:left="-142" w:firstLine="142"/>
        <w:jc w:val="both"/>
        <w:rPr>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5"/>
        <w:gridCol w:w="2426"/>
        <w:gridCol w:w="2260"/>
        <w:gridCol w:w="2211"/>
      </w:tblGrid>
      <w:tr w:rsidR="00757918" w:rsidRPr="004D3231" w:rsidTr="00A10FB5">
        <w:trPr>
          <w:trHeight w:val="642"/>
        </w:trPr>
        <w:tc>
          <w:tcPr>
            <w:tcW w:w="2425" w:type="dxa"/>
          </w:tcPr>
          <w:p w:rsidR="00757918" w:rsidRPr="00BB422A" w:rsidRDefault="00757918" w:rsidP="00A10FB5">
            <w:pPr>
              <w:jc w:val="center"/>
              <w:rPr>
                <w:rFonts w:ascii="Arial" w:hAnsi="Arial" w:cs="Arial"/>
                <w:b/>
                <w:sz w:val="18"/>
                <w:szCs w:val="18"/>
              </w:rPr>
            </w:pPr>
          </w:p>
          <w:p w:rsidR="00757918" w:rsidRPr="00BB422A" w:rsidRDefault="00757918" w:rsidP="00A10FB5">
            <w:pPr>
              <w:jc w:val="center"/>
              <w:rPr>
                <w:rFonts w:ascii="Arial" w:hAnsi="Arial" w:cs="Arial"/>
                <w:b/>
                <w:sz w:val="18"/>
                <w:szCs w:val="18"/>
              </w:rPr>
            </w:pPr>
            <w:r w:rsidRPr="00BB422A">
              <w:rPr>
                <w:rFonts w:ascii="Arial" w:hAnsi="Arial" w:cs="Arial"/>
                <w:b/>
                <w:sz w:val="18"/>
                <w:szCs w:val="18"/>
              </w:rPr>
              <w:t>Yıl</w:t>
            </w:r>
          </w:p>
        </w:tc>
        <w:tc>
          <w:tcPr>
            <w:tcW w:w="2426" w:type="dxa"/>
          </w:tcPr>
          <w:p w:rsidR="00757918" w:rsidRPr="00BB422A" w:rsidRDefault="00757918" w:rsidP="00A10FB5">
            <w:pPr>
              <w:jc w:val="center"/>
              <w:rPr>
                <w:rFonts w:ascii="Arial" w:hAnsi="Arial" w:cs="Arial"/>
                <w:b/>
                <w:sz w:val="18"/>
                <w:szCs w:val="18"/>
              </w:rPr>
            </w:pPr>
          </w:p>
          <w:p w:rsidR="00757918" w:rsidRPr="00BB422A" w:rsidRDefault="00757918" w:rsidP="00A10FB5">
            <w:pPr>
              <w:jc w:val="center"/>
              <w:rPr>
                <w:rFonts w:ascii="Arial" w:hAnsi="Arial" w:cs="Arial"/>
                <w:b/>
                <w:sz w:val="18"/>
                <w:szCs w:val="18"/>
              </w:rPr>
            </w:pPr>
            <w:r w:rsidRPr="00BB422A">
              <w:rPr>
                <w:rFonts w:ascii="Arial" w:hAnsi="Arial" w:cs="Arial"/>
                <w:b/>
                <w:sz w:val="18"/>
                <w:szCs w:val="18"/>
              </w:rPr>
              <w:t xml:space="preserve">Kamu Sektörüne ait </w:t>
            </w:r>
          </w:p>
          <w:p w:rsidR="00757918" w:rsidRPr="00BB422A" w:rsidRDefault="00757918" w:rsidP="00A10FB5">
            <w:pPr>
              <w:jc w:val="center"/>
              <w:rPr>
                <w:rFonts w:ascii="Arial" w:hAnsi="Arial" w:cs="Arial"/>
                <w:b/>
                <w:sz w:val="18"/>
                <w:szCs w:val="18"/>
              </w:rPr>
            </w:pPr>
            <w:r w:rsidRPr="00BB422A">
              <w:rPr>
                <w:rFonts w:ascii="Arial" w:hAnsi="Arial" w:cs="Arial"/>
                <w:b/>
                <w:sz w:val="18"/>
                <w:szCs w:val="18"/>
              </w:rPr>
              <w:t>Dış Borç (Milyar Dolar)</w:t>
            </w:r>
          </w:p>
        </w:tc>
        <w:tc>
          <w:tcPr>
            <w:tcW w:w="2260" w:type="dxa"/>
          </w:tcPr>
          <w:p w:rsidR="00757918" w:rsidRPr="00BB422A" w:rsidRDefault="00757918" w:rsidP="00A10FB5">
            <w:pPr>
              <w:jc w:val="center"/>
              <w:rPr>
                <w:rFonts w:ascii="Arial" w:hAnsi="Arial" w:cs="Arial"/>
                <w:b/>
                <w:sz w:val="18"/>
                <w:szCs w:val="18"/>
              </w:rPr>
            </w:pPr>
          </w:p>
          <w:p w:rsidR="00757918" w:rsidRPr="00BB422A" w:rsidRDefault="00757918" w:rsidP="00A10FB5">
            <w:pPr>
              <w:jc w:val="center"/>
              <w:rPr>
                <w:rFonts w:ascii="Arial" w:hAnsi="Arial" w:cs="Arial"/>
                <w:b/>
                <w:sz w:val="18"/>
                <w:szCs w:val="18"/>
              </w:rPr>
            </w:pPr>
            <w:r w:rsidRPr="00BB422A">
              <w:rPr>
                <w:rFonts w:ascii="Arial" w:hAnsi="Arial" w:cs="Arial"/>
                <w:b/>
                <w:sz w:val="18"/>
                <w:szCs w:val="18"/>
              </w:rPr>
              <w:t xml:space="preserve">Özel Sektöre ait </w:t>
            </w:r>
          </w:p>
          <w:p w:rsidR="00757918" w:rsidRPr="00BB422A" w:rsidRDefault="00757918" w:rsidP="00A10FB5">
            <w:pPr>
              <w:jc w:val="center"/>
              <w:rPr>
                <w:rFonts w:ascii="Arial" w:hAnsi="Arial" w:cs="Arial"/>
                <w:b/>
                <w:sz w:val="18"/>
                <w:szCs w:val="18"/>
              </w:rPr>
            </w:pPr>
            <w:r w:rsidRPr="00BB422A">
              <w:rPr>
                <w:rFonts w:ascii="Arial" w:hAnsi="Arial" w:cs="Arial"/>
                <w:b/>
                <w:sz w:val="18"/>
                <w:szCs w:val="18"/>
              </w:rPr>
              <w:t>Dış Borç (Milyar Dolar)</w:t>
            </w:r>
          </w:p>
          <w:p w:rsidR="00757918" w:rsidRPr="00BB422A" w:rsidRDefault="00757918" w:rsidP="00A10FB5">
            <w:pPr>
              <w:jc w:val="center"/>
              <w:rPr>
                <w:rFonts w:ascii="Arial" w:hAnsi="Arial" w:cs="Arial"/>
                <w:b/>
                <w:sz w:val="18"/>
                <w:szCs w:val="18"/>
              </w:rPr>
            </w:pPr>
          </w:p>
        </w:tc>
        <w:tc>
          <w:tcPr>
            <w:tcW w:w="2211" w:type="dxa"/>
          </w:tcPr>
          <w:p w:rsidR="00757918" w:rsidRPr="00BB422A" w:rsidRDefault="00757918" w:rsidP="00A10FB5">
            <w:pPr>
              <w:jc w:val="center"/>
              <w:rPr>
                <w:rFonts w:ascii="Arial" w:hAnsi="Arial" w:cs="Arial"/>
                <w:b/>
                <w:sz w:val="18"/>
                <w:szCs w:val="18"/>
              </w:rPr>
            </w:pPr>
          </w:p>
          <w:p w:rsidR="00757918" w:rsidRPr="00BB422A" w:rsidRDefault="00757918" w:rsidP="00A10FB5">
            <w:pPr>
              <w:jc w:val="center"/>
              <w:rPr>
                <w:rFonts w:ascii="Arial" w:hAnsi="Arial" w:cs="Arial"/>
                <w:b/>
                <w:sz w:val="18"/>
                <w:szCs w:val="18"/>
              </w:rPr>
            </w:pPr>
            <w:r w:rsidRPr="00BB422A">
              <w:rPr>
                <w:rFonts w:ascii="Arial" w:hAnsi="Arial" w:cs="Arial"/>
                <w:b/>
                <w:sz w:val="18"/>
                <w:szCs w:val="18"/>
              </w:rPr>
              <w:t xml:space="preserve">Toplam </w:t>
            </w:r>
          </w:p>
          <w:p w:rsidR="00757918" w:rsidRPr="00BB422A" w:rsidRDefault="00757918" w:rsidP="00A10FB5">
            <w:pPr>
              <w:jc w:val="center"/>
              <w:rPr>
                <w:rFonts w:ascii="Arial" w:hAnsi="Arial" w:cs="Arial"/>
                <w:b/>
                <w:sz w:val="18"/>
                <w:szCs w:val="18"/>
              </w:rPr>
            </w:pPr>
            <w:r w:rsidRPr="00BB422A">
              <w:rPr>
                <w:rFonts w:ascii="Arial" w:hAnsi="Arial" w:cs="Arial"/>
                <w:b/>
                <w:sz w:val="18"/>
                <w:szCs w:val="18"/>
              </w:rPr>
              <w:t>Dış Borç (Milyar Dolar)</w:t>
            </w:r>
          </w:p>
        </w:tc>
      </w:tr>
      <w:tr w:rsidR="00757918" w:rsidRPr="004D3231" w:rsidTr="00A10FB5">
        <w:trPr>
          <w:trHeight w:val="203"/>
        </w:trPr>
        <w:tc>
          <w:tcPr>
            <w:tcW w:w="2425" w:type="dxa"/>
            <w:vAlign w:val="bottom"/>
          </w:tcPr>
          <w:p w:rsidR="00757918" w:rsidRDefault="00757918" w:rsidP="00A10FB5">
            <w:pPr>
              <w:jc w:val="center"/>
              <w:rPr>
                <w:rFonts w:ascii="Arial" w:hAnsi="Arial" w:cs="Arial"/>
                <w:sz w:val="18"/>
                <w:szCs w:val="18"/>
              </w:rPr>
            </w:pPr>
          </w:p>
          <w:p w:rsidR="00757918" w:rsidRPr="004D3231" w:rsidRDefault="00757918" w:rsidP="00A10FB5">
            <w:pPr>
              <w:jc w:val="center"/>
              <w:rPr>
                <w:rFonts w:ascii="Arial" w:hAnsi="Arial" w:cs="Arial"/>
                <w:sz w:val="18"/>
                <w:szCs w:val="18"/>
              </w:rPr>
            </w:pPr>
            <w:r w:rsidRPr="004D3231">
              <w:rPr>
                <w:rFonts w:ascii="Arial" w:hAnsi="Arial" w:cs="Arial"/>
                <w:sz w:val="18"/>
                <w:szCs w:val="18"/>
              </w:rPr>
              <w:t>2002</w:t>
            </w:r>
          </w:p>
        </w:tc>
        <w:tc>
          <w:tcPr>
            <w:tcW w:w="2426" w:type="dxa"/>
            <w:vAlign w:val="bottom"/>
          </w:tcPr>
          <w:p w:rsidR="00757918" w:rsidRPr="004D3231" w:rsidRDefault="00757918" w:rsidP="00A10FB5">
            <w:pPr>
              <w:jc w:val="center"/>
              <w:rPr>
                <w:rFonts w:ascii="Arial" w:hAnsi="Arial" w:cs="Arial"/>
                <w:sz w:val="18"/>
                <w:szCs w:val="18"/>
              </w:rPr>
            </w:pPr>
            <w:r w:rsidRPr="004D3231">
              <w:rPr>
                <w:rFonts w:ascii="Arial" w:hAnsi="Arial" w:cs="Arial"/>
                <w:sz w:val="18"/>
                <w:szCs w:val="18"/>
              </w:rPr>
              <w:t xml:space="preserve">  86.5</w:t>
            </w:r>
          </w:p>
        </w:tc>
        <w:tc>
          <w:tcPr>
            <w:tcW w:w="2260" w:type="dxa"/>
            <w:vAlign w:val="bottom"/>
          </w:tcPr>
          <w:p w:rsidR="00757918" w:rsidRPr="004D3231" w:rsidRDefault="00757918" w:rsidP="00A10FB5">
            <w:pPr>
              <w:jc w:val="center"/>
              <w:rPr>
                <w:rFonts w:ascii="Arial" w:hAnsi="Arial" w:cs="Arial"/>
                <w:sz w:val="18"/>
                <w:szCs w:val="18"/>
              </w:rPr>
            </w:pPr>
            <w:r w:rsidRPr="004D3231">
              <w:rPr>
                <w:rFonts w:ascii="Arial" w:hAnsi="Arial" w:cs="Arial"/>
                <w:sz w:val="18"/>
                <w:szCs w:val="18"/>
              </w:rPr>
              <w:t xml:space="preserve">  43.1</w:t>
            </w:r>
          </w:p>
        </w:tc>
        <w:tc>
          <w:tcPr>
            <w:tcW w:w="2211" w:type="dxa"/>
            <w:vAlign w:val="bottom"/>
          </w:tcPr>
          <w:p w:rsidR="00757918" w:rsidRPr="004D3231" w:rsidRDefault="00757918" w:rsidP="00A10FB5">
            <w:pPr>
              <w:jc w:val="center"/>
              <w:rPr>
                <w:rFonts w:ascii="Arial" w:hAnsi="Arial" w:cs="Arial"/>
                <w:sz w:val="18"/>
                <w:szCs w:val="18"/>
              </w:rPr>
            </w:pPr>
            <w:r w:rsidRPr="004D3231">
              <w:rPr>
                <w:rFonts w:ascii="Arial" w:hAnsi="Arial" w:cs="Arial"/>
                <w:sz w:val="18"/>
                <w:szCs w:val="18"/>
              </w:rPr>
              <w:t>129.6</w:t>
            </w:r>
          </w:p>
        </w:tc>
      </w:tr>
      <w:tr w:rsidR="00757918" w:rsidRPr="004D3231" w:rsidTr="00A10FB5">
        <w:trPr>
          <w:trHeight w:val="402"/>
        </w:trPr>
        <w:tc>
          <w:tcPr>
            <w:tcW w:w="2425" w:type="dxa"/>
            <w:vAlign w:val="bottom"/>
          </w:tcPr>
          <w:p w:rsidR="00757918" w:rsidRPr="004D3231" w:rsidRDefault="00757918" w:rsidP="00A10FB5">
            <w:pPr>
              <w:jc w:val="center"/>
              <w:rPr>
                <w:rFonts w:ascii="Arial" w:hAnsi="Arial" w:cs="Arial"/>
                <w:b/>
                <w:sz w:val="18"/>
                <w:szCs w:val="18"/>
              </w:rPr>
            </w:pPr>
            <w:r w:rsidRPr="004D3231">
              <w:rPr>
                <w:rFonts w:ascii="Arial" w:hAnsi="Arial" w:cs="Arial"/>
                <w:b/>
                <w:sz w:val="18"/>
                <w:szCs w:val="18"/>
              </w:rPr>
              <w:t xml:space="preserve">2016 </w:t>
            </w:r>
          </w:p>
        </w:tc>
        <w:tc>
          <w:tcPr>
            <w:tcW w:w="2426" w:type="dxa"/>
            <w:vAlign w:val="bottom"/>
          </w:tcPr>
          <w:p w:rsidR="00757918" w:rsidRPr="004D3231" w:rsidRDefault="00757918" w:rsidP="00A55258">
            <w:pPr>
              <w:jc w:val="center"/>
              <w:rPr>
                <w:rFonts w:ascii="Arial" w:hAnsi="Arial" w:cs="Arial"/>
                <w:sz w:val="18"/>
                <w:szCs w:val="18"/>
              </w:rPr>
            </w:pPr>
            <w:r>
              <w:rPr>
                <w:rFonts w:ascii="Arial" w:hAnsi="Arial" w:cs="Arial"/>
                <w:sz w:val="18"/>
                <w:szCs w:val="18"/>
              </w:rPr>
              <w:t>12</w:t>
            </w:r>
            <w:r w:rsidR="00A55258">
              <w:rPr>
                <w:rFonts w:ascii="Arial" w:hAnsi="Arial" w:cs="Arial"/>
                <w:sz w:val="18"/>
                <w:szCs w:val="18"/>
              </w:rPr>
              <w:t>4</w:t>
            </w:r>
            <w:r>
              <w:rPr>
                <w:rFonts w:ascii="Arial" w:hAnsi="Arial" w:cs="Arial"/>
                <w:sz w:val="18"/>
                <w:szCs w:val="18"/>
              </w:rPr>
              <w:t>.</w:t>
            </w:r>
            <w:r w:rsidR="00A55258">
              <w:rPr>
                <w:rFonts w:ascii="Arial" w:hAnsi="Arial" w:cs="Arial"/>
                <w:sz w:val="18"/>
                <w:szCs w:val="18"/>
              </w:rPr>
              <w:t>1</w:t>
            </w:r>
          </w:p>
        </w:tc>
        <w:tc>
          <w:tcPr>
            <w:tcW w:w="2260" w:type="dxa"/>
            <w:vAlign w:val="bottom"/>
          </w:tcPr>
          <w:p w:rsidR="00757918" w:rsidRPr="004D3231" w:rsidRDefault="00757918" w:rsidP="00A55258">
            <w:pPr>
              <w:jc w:val="center"/>
              <w:rPr>
                <w:rFonts w:ascii="Arial" w:hAnsi="Arial" w:cs="Arial"/>
                <w:sz w:val="18"/>
                <w:szCs w:val="18"/>
              </w:rPr>
            </w:pPr>
            <w:r>
              <w:rPr>
                <w:rFonts w:ascii="Arial" w:hAnsi="Arial" w:cs="Arial"/>
                <w:sz w:val="18"/>
                <w:szCs w:val="18"/>
              </w:rPr>
              <w:t>284.</w:t>
            </w:r>
            <w:r w:rsidR="00A55258">
              <w:rPr>
                <w:rFonts w:ascii="Arial" w:hAnsi="Arial" w:cs="Arial"/>
                <w:sz w:val="18"/>
                <w:szCs w:val="18"/>
              </w:rPr>
              <w:t>1</w:t>
            </w:r>
          </w:p>
        </w:tc>
        <w:tc>
          <w:tcPr>
            <w:tcW w:w="2211" w:type="dxa"/>
            <w:vAlign w:val="bottom"/>
          </w:tcPr>
          <w:p w:rsidR="00757918" w:rsidRPr="004D3231" w:rsidRDefault="00757918" w:rsidP="00A55258">
            <w:pPr>
              <w:jc w:val="center"/>
              <w:rPr>
                <w:rFonts w:ascii="Arial" w:hAnsi="Arial" w:cs="Arial"/>
                <w:sz w:val="18"/>
                <w:szCs w:val="18"/>
              </w:rPr>
            </w:pPr>
            <w:r>
              <w:rPr>
                <w:rFonts w:ascii="Arial" w:hAnsi="Arial" w:cs="Arial"/>
                <w:sz w:val="18"/>
                <w:szCs w:val="18"/>
              </w:rPr>
              <w:t>40</w:t>
            </w:r>
            <w:r w:rsidR="00A55258">
              <w:rPr>
                <w:rFonts w:ascii="Arial" w:hAnsi="Arial" w:cs="Arial"/>
                <w:sz w:val="18"/>
                <w:szCs w:val="18"/>
              </w:rPr>
              <w:t>8</w:t>
            </w:r>
            <w:r>
              <w:rPr>
                <w:rFonts w:ascii="Arial" w:hAnsi="Arial" w:cs="Arial"/>
                <w:sz w:val="18"/>
                <w:szCs w:val="18"/>
              </w:rPr>
              <w:t>.</w:t>
            </w:r>
            <w:r w:rsidR="00A55258">
              <w:rPr>
                <w:rFonts w:ascii="Arial" w:hAnsi="Arial" w:cs="Arial"/>
                <w:sz w:val="18"/>
                <w:szCs w:val="18"/>
              </w:rPr>
              <w:t>2</w:t>
            </w:r>
          </w:p>
        </w:tc>
      </w:tr>
      <w:tr w:rsidR="00757918" w:rsidRPr="004D3231" w:rsidTr="00A10FB5">
        <w:trPr>
          <w:trHeight w:val="422"/>
        </w:trPr>
        <w:tc>
          <w:tcPr>
            <w:tcW w:w="2425" w:type="dxa"/>
            <w:vAlign w:val="bottom"/>
          </w:tcPr>
          <w:p w:rsidR="00757918" w:rsidRPr="004D3231" w:rsidRDefault="00757918" w:rsidP="00A55258">
            <w:pPr>
              <w:jc w:val="center"/>
              <w:rPr>
                <w:rFonts w:ascii="Arial" w:hAnsi="Arial" w:cs="Arial"/>
                <w:b/>
                <w:sz w:val="18"/>
                <w:szCs w:val="18"/>
              </w:rPr>
            </w:pPr>
            <w:r>
              <w:rPr>
                <w:rFonts w:ascii="Arial" w:hAnsi="Arial" w:cs="Arial"/>
                <w:b/>
                <w:sz w:val="18"/>
                <w:szCs w:val="18"/>
              </w:rPr>
              <w:t xml:space="preserve">2017 </w:t>
            </w:r>
          </w:p>
        </w:tc>
        <w:tc>
          <w:tcPr>
            <w:tcW w:w="2426" w:type="dxa"/>
            <w:vAlign w:val="bottom"/>
          </w:tcPr>
          <w:p w:rsidR="00757918" w:rsidRDefault="00757918" w:rsidP="00A55258">
            <w:pPr>
              <w:jc w:val="center"/>
              <w:rPr>
                <w:rFonts w:ascii="Arial" w:hAnsi="Arial" w:cs="Arial"/>
                <w:sz w:val="18"/>
                <w:szCs w:val="18"/>
              </w:rPr>
            </w:pPr>
            <w:r>
              <w:rPr>
                <w:rFonts w:ascii="Arial" w:hAnsi="Arial" w:cs="Arial"/>
                <w:sz w:val="18"/>
                <w:szCs w:val="18"/>
              </w:rPr>
              <w:t>13</w:t>
            </w:r>
            <w:r w:rsidR="00A55258">
              <w:rPr>
                <w:rFonts w:ascii="Arial" w:hAnsi="Arial" w:cs="Arial"/>
                <w:sz w:val="18"/>
                <w:szCs w:val="18"/>
              </w:rPr>
              <w:t>6</w:t>
            </w:r>
            <w:r>
              <w:rPr>
                <w:rFonts w:ascii="Arial" w:hAnsi="Arial" w:cs="Arial"/>
                <w:sz w:val="18"/>
                <w:szCs w:val="18"/>
              </w:rPr>
              <w:t>.</w:t>
            </w:r>
            <w:r w:rsidR="00A55258">
              <w:rPr>
                <w:rFonts w:ascii="Arial" w:hAnsi="Arial" w:cs="Arial"/>
                <w:sz w:val="18"/>
                <w:szCs w:val="18"/>
              </w:rPr>
              <w:t>8</w:t>
            </w:r>
          </w:p>
        </w:tc>
        <w:tc>
          <w:tcPr>
            <w:tcW w:w="2260" w:type="dxa"/>
            <w:vAlign w:val="bottom"/>
          </w:tcPr>
          <w:p w:rsidR="00757918" w:rsidRDefault="00757918" w:rsidP="00A55258">
            <w:pPr>
              <w:jc w:val="center"/>
              <w:rPr>
                <w:rFonts w:ascii="Arial" w:hAnsi="Arial" w:cs="Arial"/>
                <w:sz w:val="18"/>
                <w:szCs w:val="18"/>
              </w:rPr>
            </w:pPr>
            <w:r>
              <w:rPr>
                <w:rFonts w:ascii="Arial" w:hAnsi="Arial" w:cs="Arial"/>
                <w:sz w:val="18"/>
                <w:szCs w:val="18"/>
              </w:rPr>
              <w:t>3</w:t>
            </w:r>
            <w:r w:rsidR="00A55258">
              <w:rPr>
                <w:rFonts w:ascii="Arial" w:hAnsi="Arial" w:cs="Arial"/>
                <w:sz w:val="18"/>
                <w:szCs w:val="18"/>
              </w:rPr>
              <w:t>16</w:t>
            </w:r>
            <w:r>
              <w:rPr>
                <w:rFonts w:ascii="Arial" w:hAnsi="Arial" w:cs="Arial"/>
                <w:sz w:val="18"/>
                <w:szCs w:val="18"/>
              </w:rPr>
              <w:t>.</w:t>
            </w:r>
            <w:r w:rsidR="00A55258">
              <w:rPr>
                <w:rFonts w:ascii="Arial" w:hAnsi="Arial" w:cs="Arial"/>
                <w:sz w:val="18"/>
                <w:szCs w:val="18"/>
              </w:rPr>
              <w:t>4</w:t>
            </w:r>
          </w:p>
        </w:tc>
        <w:tc>
          <w:tcPr>
            <w:tcW w:w="2211" w:type="dxa"/>
            <w:vAlign w:val="bottom"/>
          </w:tcPr>
          <w:p w:rsidR="00757918" w:rsidRDefault="00757918" w:rsidP="00A55258">
            <w:pPr>
              <w:jc w:val="center"/>
              <w:rPr>
                <w:rFonts w:ascii="Arial" w:hAnsi="Arial" w:cs="Arial"/>
                <w:sz w:val="18"/>
                <w:szCs w:val="18"/>
              </w:rPr>
            </w:pPr>
            <w:r>
              <w:rPr>
                <w:rFonts w:ascii="Arial" w:hAnsi="Arial" w:cs="Arial"/>
                <w:sz w:val="18"/>
                <w:szCs w:val="18"/>
              </w:rPr>
              <w:t>4</w:t>
            </w:r>
            <w:r w:rsidR="00A55258">
              <w:rPr>
                <w:rFonts w:ascii="Arial" w:hAnsi="Arial" w:cs="Arial"/>
                <w:sz w:val="18"/>
                <w:szCs w:val="18"/>
              </w:rPr>
              <w:t>53.2</w:t>
            </w:r>
          </w:p>
        </w:tc>
      </w:tr>
    </w:tbl>
    <w:p w:rsidR="00757918" w:rsidRDefault="00757918" w:rsidP="00757918">
      <w:pPr>
        <w:pStyle w:val="ListeParagraf"/>
        <w:spacing w:line="360" w:lineRule="auto"/>
        <w:ind w:left="0" w:firstLine="709"/>
        <w:jc w:val="both"/>
        <w:rPr>
          <w:sz w:val="20"/>
          <w:szCs w:val="20"/>
        </w:rPr>
      </w:pPr>
    </w:p>
    <w:p w:rsidR="00757918" w:rsidRDefault="00757918" w:rsidP="00757918">
      <w:pPr>
        <w:pStyle w:val="ListeParagraf"/>
        <w:spacing w:line="360" w:lineRule="auto"/>
        <w:ind w:left="0" w:firstLine="709"/>
        <w:jc w:val="both"/>
        <w:rPr>
          <w:sz w:val="20"/>
          <w:szCs w:val="20"/>
        </w:rPr>
      </w:pPr>
      <w:r>
        <w:rPr>
          <w:sz w:val="20"/>
          <w:szCs w:val="20"/>
        </w:rPr>
        <w:t xml:space="preserve">Görüldüğü gibi, kamu sektörüne ve özel sektöre ait </w:t>
      </w:r>
      <w:r w:rsidR="002324C3">
        <w:rPr>
          <w:sz w:val="20"/>
          <w:szCs w:val="20"/>
        </w:rPr>
        <w:t xml:space="preserve">dış </w:t>
      </w:r>
      <w:r>
        <w:rPr>
          <w:sz w:val="20"/>
          <w:szCs w:val="20"/>
        </w:rPr>
        <w:t xml:space="preserve">borçlar yıllar itibari ile artmıştır. Tabii kamu sektörüne ve özel sektöre ait dış borçlar artınca toplam dış borç miktarı da artmıştır. </w:t>
      </w:r>
      <w:r w:rsidRPr="004C5B2B">
        <w:rPr>
          <w:b/>
          <w:sz w:val="20"/>
          <w:szCs w:val="20"/>
        </w:rPr>
        <w:t>2002 yılında 129.6 milyar dolar olan toplam dış borç miktarı 2016 yılı sonunda 40</w:t>
      </w:r>
      <w:r w:rsidR="00A55258" w:rsidRPr="004C5B2B">
        <w:rPr>
          <w:b/>
          <w:sz w:val="20"/>
          <w:szCs w:val="20"/>
        </w:rPr>
        <w:t>8</w:t>
      </w:r>
      <w:r w:rsidRPr="004C5B2B">
        <w:rPr>
          <w:b/>
          <w:sz w:val="20"/>
          <w:szCs w:val="20"/>
        </w:rPr>
        <w:t>.</w:t>
      </w:r>
      <w:r w:rsidR="00A55258" w:rsidRPr="004C5B2B">
        <w:rPr>
          <w:b/>
          <w:sz w:val="20"/>
          <w:szCs w:val="20"/>
        </w:rPr>
        <w:t>2</w:t>
      </w:r>
      <w:r w:rsidRPr="004C5B2B">
        <w:rPr>
          <w:b/>
          <w:sz w:val="20"/>
          <w:szCs w:val="20"/>
        </w:rPr>
        <w:t xml:space="preserve"> milyar dolara</w:t>
      </w:r>
      <w:r w:rsidR="005A2F6B" w:rsidRPr="004C5B2B">
        <w:rPr>
          <w:b/>
          <w:sz w:val="20"/>
          <w:szCs w:val="20"/>
        </w:rPr>
        <w:t xml:space="preserve"> ve</w:t>
      </w:r>
      <w:r w:rsidRPr="004C5B2B">
        <w:rPr>
          <w:b/>
          <w:sz w:val="20"/>
          <w:szCs w:val="20"/>
        </w:rPr>
        <w:t xml:space="preserve"> 2017 yılı sonunda </w:t>
      </w:r>
      <w:r w:rsidR="002324C3" w:rsidRPr="004C5B2B">
        <w:rPr>
          <w:b/>
          <w:sz w:val="20"/>
          <w:szCs w:val="20"/>
        </w:rPr>
        <w:t xml:space="preserve">ise </w:t>
      </w:r>
      <w:r w:rsidRPr="004C5B2B">
        <w:rPr>
          <w:b/>
          <w:sz w:val="20"/>
          <w:szCs w:val="20"/>
        </w:rPr>
        <w:t>4</w:t>
      </w:r>
      <w:r w:rsidR="00A55258" w:rsidRPr="004C5B2B">
        <w:rPr>
          <w:b/>
          <w:sz w:val="20"/>
          <w:szCs w:val="20"/>
        </w:rPr>
        <w:t>53</w:t>
      </w:r>
      <w:r w:rsidRPr="004C5B2B">
        <w:rPr>
          <w:b/>
          <w:sz w:val="20"/>
          <w:szCs w:val="20"/>
        </w:rPr>
        <w:t>.</w:t>
      </w:r>
      <w:r w:rsidR="00A55258" w:rsidRPr="004C5B2B">
        <w:rPr>
          <w:b/>
          <w:sz w:val="20"/>
          <w:szCs w:val="20"/>
        </w:rPr>
        <w:t>2</w:t>
      </w:r>
      <w:r w:rsidRPr="004C5B2B">
        <w:rPr>
          <w:b/>
          <w:sz w:val="20"/>
          <w:szCs w:val="20"/>
        </w:rPr>
        <w:t xml:space="preserve"> milyar dolara ulaşmıştır.</w:t>
      </w:r>
      <w:r w:rsidR="00251BE5" w:rsidRPr="004C5B2B">
        <w:rPr>
          <w:b/>
          <w:sz w:val="20"/>
          <w:szCs w:val="20"/>
        </w:rPr>
        <w:t xml:space="preserve"> </w:t>
      </w:r>
      <w:r w:rsidR="000F69FA" w:rsidRPr="004C5B2B">
        <w:rPr>
          <w:b/>
          <w:sz w:val="20"/>
          <w:szCs w:val="20"/>
        </w:rPr>
        <w:t>Evet</w:t>
      </w:r>
      <w:r w:rsidR="002E045C" w:rsidRPr="004C5B2B">
        <w:rPr>
          <w:b/>
          <w:sz w:val="20"/>
          <w:szCs w:val="20"/>
        </w:rPr>
        <w:t>,</w:t>
      </w:r>
      <w:r w:rsidR="000F69FA" w:rsidRPr="004C5B2B">
        <w:rPr>
          <w:b/>
          <w:sz w:val="20"/>
          <w:szCs w:val="20"/>
        </w:rPr>
        <w:t xml:space="preserve"> 2002 yılında 129.6 milyar dolar olan ülkemizin toplam dış borcu 15 yılda % 250 artarak 2017 yılı sonunda 453.2 milyar dolar olmuştur. </w:t>
      </w:r>
      <w:r w:rsidR="00F413AF">
        <w:rPr>
          <w:sz w:val="20"/>
          <w:szCs w:val="20"/>
        </w:rPr>
        <w:t xml:space="preserve">Ama AK Partili yöneticiler halkımıza ülkemizin dış borçlarından hiç bahsetmemektedirler. </w:t>
      </w:r>
      <w:r w:rsidR="00251BE5">
        <w:rPr>
          <w:sz w:val="20"/>
          <w:szCs w:val="20"/>
        </w:rPr>
        <w:t>Son bir yılda Toplam Dış Borç 45 milyar dolar artmıştır</w:t>
      </w:r>
      <w:r w:rsidR="002324C3">
        <w:rPr>
          <w:sz w:val="20"/>
          <w:szCs w:val="20"/>
        </w:rPr>
        <w:t xml:space="preserve"> ki bu durum hayra alamet değildir.</w:t>
      </w:r>
    </w:p>
    <w:p w:rsidR="00757918" w:rsidRDefault="00C9673A" w:rsidP="00757918">
      <w:pPr>
        <w:pStyle w:val="ListeParagraf"/>
        <w:spacing w:line="360" w:lineRule="auto"/>
        <w:ind w:left="0" w:firstLine="709"/>
        <w:jc w:val="both"/>
        <w:rPr>
          <w:sz w:val="20"/>
          <w:szCs w:val="20"/>
        </w:rPr>
      </w:pPr>
      <w:r>
        <w:rPr>
          <w:sz w:val="20"/>
          <w:szCs w:val="20"/>
        </w:rPr>
        <w:t xml:space="preserve">Türkiye’nin </w:t>
      </w:r>
      <w:r w:rsidR="00757918" w:rsidRPr="004D3231">
        <w:rPr>
          <w:sz w:val="20"/>
          <w:szCs w:val="20"/>
        </w:rPr>
        <w:t xml:space="preserve">2002 ile </w:t>
      </w:r>
      <w:r w:rsidR="00757918">
        <w:rPr>
          <w:sz w:val="20"/>
          <w:szCs w:val="20"/>
        </w:rPr>
        <w:t xml:space="preserve">2016 </w:t>
      </w:r>
      <w:r>
        <w:rPr>
          <w:sz w:val="20"/>
          <w:szCs w:val="20"/>
        </w:rPr>
        <w:t>ve 2017 yıllarındaki</w:t>
      </w:r>
      <w:r w:rsidR="00757918" w:rsidRPr="004D3231">
        <w:rPr>
          <w:sz w:val="20"/>
          <w:szCs w:val="20"/>
        </w:rPr>
        <w:t xml:space="preserve"> Kamu Brüt </w:t>
      </w:r>
      <w:r>
        <w:rPr>
          <w:sz w:val="20"/>
          <w:szCs w:val="20"/>
        </w:rPr>
        <w:t>İç Borç, Dış Borç ve</w:t>
      </w:r>
      <w:r w:rsidR="00757918">
        <w:rPr>
          <w:sz w:val="20"/>
          <w:szCs w:val="20"/>
        </w:rPr>
        <w:t xml:space="preserve"> Toplam Borç durumu </w:t>
      </w:r>
      <w:r w:rsidR="002E6F21">
        <w:rPr>
          <w:sz w:val="20"/>
          <w:szCs w:val="20"/>
        </w:rPr>
        <w:t xml:space="preserve">da </w:t>
      </w:r>
      <w:r w:rsidR="00757918" w:rsidRPr="004D3231">
        <w:rPr>
          <w:sz w:val="20"/>
          <w:szCs w:val="20"/>
        </w:rPr>
        <w:t>şöyledir:</w:t>
      </w:r>
    </w:p>
    <w:p w:rsidR="00757918" w:rsidRDefault="00757918" w:rsidP="00757918">
      <w:pPr>
        <w:pStyle w:val="ListeParagraf"/>
        <w:spacing w:line="360" w:lineRule="auto"/>
        <w:ind w:left="0" w:firstLine="709"/>
        <w:jc w:val="both"/>
        <w:rPr>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5"/>
        <w:gridCol w:w="2426"/>
        <w:gridCol w:w="2260"/>
        <w:gridCol w:w="2211"/>
      </w:tblGrid>
      <w:tr w:rsidR="00757918" w:rsidRPr="004D3231" w:rsidTr="00A10FB5">
        <w:trPr>
          <w:trHeight w:val="668"/>
        </w:trPr>
        <w:tc>
          <w:tcPr>
            <w:tcW w:w="2425" w:type="dxa"/>
          </w:tcPr>
          <w:p w:rsidR="00757918" w:rsidRPr="004D3231" w:rsidRDefault="00757918" w:rsidP="00A10FB5">
            <w:pPr>
              <w:jc w:val="center"/>
              <w:rPr>
                <w:rFonts w:ascii="Arial" w:hAnsi="Arial" w:cs="Arial"/>
                <w:b/>
                <w:sz w:val="18"/>
                <w:szCs w:val="18"/>
              </w:rPr>
            </w:pPr>
          </w:p>
          <w:p w:rsidR="00757918" w:rsidRPr="004D3231" w:rsidRDefault="00757918" w:rsidP="00A10FB5">
            <w:pPr>
              <w:jc w:val="center"/>
              <w:rPr>
                <w:rFonts w:ascii="Arial" w:hAnsi="Arial" w:cs="Arial"/>
                <w:b/>
                <w:sz w:val="18"/>
                <w:szCs w:val="18"/>
              </w:rPr>
            </w:pPr>
            <w:r w:rsidRPr="004D3231">
              <w:rPr>
                <w:rFonts w:ascii="Arial" w:hAnsi="Arial" w:cs="Arial"/>
                <w:b/>
                <w:sz w:val="18"/>
                <w:szCs w:val="18"/>
              </w:rPr>
              <w:t>Yıl</w:t>
            </w:r>
          </w:p>
        </w:tc>
        <w:tc>
          <w:tcPr>
            <w:tcW w:w="2426" w:type="dxa"/>
          </w:tcPr>
          <w:p w:rsidR="00757918" w:rsidRPr="004D3231" w:rsidRDefault="00757918" w:rsidP="00A10FB5">
            <w:pPr>
              <w:jc w:val="center"/>
              <w:rPr>
                <w:rFonts w:ascii="Arial" w:hAnsi="Arial" w:cs="Arial"/>
                <w:b/>
                <w:sz w:val="18"/>
                <w:szCs w:val="18"/>
              </w:rPr>
            </w:pPr>
          </w:p>
          <w:p w:rsidR="00757918" w:rsidRPr="004D3231" w:rsidRDefault="00757918" w:rsidP="00A10FB5">
            <w:pPr>
              <w:jc w:val="center"/>
              <w:rPr>
                <w:rFonts w:ascii="Arial" w:hAnsi="Arial" w:cs="Arial"/>
                <w:b/>
                <w:sz w:val="18"/>
                <w:szCs w:val="18"/>
              </w:rPr>
            </w:pPr>
            <w:r w:rsidRPr="004D3231">
              <w:rPr>
                <w:rFonts w:ascii="Arial" w:hAnsi="Arial" w:cs="Arial"/>
                <w:b/>
                <w:sz w:val="18"/>
                <w:szCs w:val="18"/>
              </w:rPr>
              <w:t>Kamu Brüt İç Borç Stoku (Milyar TL)</w:t>
            </w:r>
          </w:p>
        </w:tc>
        <w:tc>
          <w:tcPr>
            <w:tcW w:w="2260" w:type="dxa"/>
          </w:tcPr>
          <w:p w:rsidR="00757918" w:rsidRPr="004D3231" w:rsidRDefault="00757918" w:rsidP="00A10FB5">
            <w:pPr>
              <w:jc w:val="center"/>
              <w:rPr>
                <w:rFonts w:ascii="Arial" w:hAnsi="Arial" w:cs="Arial"/>
                <w:b/>
                <w:sz w:val="18"/>
                <w:szCs w:val="18"/>
              </w:rPr>
            </w:pPr>
          </w:p>
          <w:p w:rsidR="00757918" w:rsidRPr="004D3231" w:rsidRDefault="00757918" w:rsidP="00A10FB5">
            <w:pPr>
              <w:jc w:val="center"/>
              <w:rPr>
                <w:rFonts w:ascii="Arial" w:hAnsi="Arial" w:cs="Arial"/>
                <w:b/>
                <w:sz w:val="18"/>
                <w:szCs w:val="18"/>
              </w:rPr>
            </w:pPr>
            <w:r w:rsidRPr="004D3231">
              <w:rPr>
                <w:rFonts w:ascii="Arial" w:hAnsi="Arial" w:cs="Arial"/>
                <w:b/>
                <w:sz w:val="18"/>
                <w:szCs w:val="18"/>
              </w:rPr>
              <w:t>Kamu Brüt Dış Borç Stoku (Milyar TL)</w:t>
            </w:r>
          </w:p>
          <w:p w:rsidR="00757918" w:rsidRPr="004D3231" w:rsidRDefault="00757918" w:rsidP="00A10FB5">
            <w:pPr>
              <w:jc w:val="center"/>
              <w:rPr>
                <w:rFonts w:ascii="Arial" w:hAnsi="Arial" w:cs="Arial"/>
                <w:b/>
                <w:sz w:val="18"/>
                <w:szCs w:val="18"/>
              </w:rPr>
            </w:pPr>
          </w:p>
        </w:tc>
        <w:tc>
          <w:tcPr>
            <w:tcW w:w="2211" w:type="dxa"/>
          </w:tcPr>
          <w:p w:rsidR="00757918" w:rsidRPr="004D3231" w:rsidRDefault="00757918" w:rsidP="00A10FB5">
            <w:pPr>
              <w:jc w:val="center"/>
              <w:rPr>
                <w:rFonts w:ascii="Arial" w:hAnsi="Arial" w:cs="Arial"/>
                <w:b/>
                <w:sz w:val="18"/>
                <w:szCs w:val="18"/>
              </w:rPr>
            </w:pPr>
          </w:p>
          <w:p w:rsidR="00757918" w:rsidRPr="004D3231" w:rsidRDefault="00757918" w:rsidP="00A10FB5">
            <w:pPr>
              <w:tabs>
                <w:tab w:val="left" w:pos="260"/>
              </w:tabs>
              <w:jc w:val="center"/>
              <w:rPr>
                <w:rFonts w:ascii="Arial" w:hAnsi="Arial" w:cs="Arial"/>
                <w:b/>
                <w:sz w:val="18"/>
                <w:szCs w:val="18"/>
              </w:rPr>
            </w:pPr>
            <w:r w:rsidRPr="004D3231">
              <w:rPr>
                <w:rFonts w:ascii="Arial" w:hAnsi="Arial" w:cs="Arial"/>
                <w:b/>
                <w:sz w:val="18"/>
                <w:szCs w:val="18"/>
              </w:rPr>
              <w:t>Kamu Brüt Toplam Borç Stoku (Milyar TL)</w:t>
            </w:r>
          </w:p>
        </w:tc>
      </w:tr>
      <w:tr w:rsidR="00757918" w:rsidRPr="00B30F71" w:rsidTr="00A10FB5">
        <w:trPr>
          <w:trHeight w:val="203"/>
        </w:trPr>
        <w:tc>
          <w:tcPr>
            <w:tcW w:w="2425" w:type="dxa"/>
            <w:vAlign w:val="bottom"/>
          </w:tcPr>
          <w:p w:rsidR="00757918" w:rsidRDefault="00757918" w:rsidP="00A10FB5">
            <w:pPr>
              <w:jc w:val="center"/>
              <w:rPr>
                <w:rFonts w:ascii="Arial" w:hAnsi="Arial" w:cs="Arial"/>
                <w:sz w:val="18"/>
                <w:szCs w:val="18"/>
              </w:rPr>
            </w:pPr>
          </w:p>
          <w:p w:rsidR="00757918" w:rsidRPr="00B30F71" w:rsidRDefault="00757918" w:rsidP="00A10FB5">
            <w:pPr>
              <w:jc w:val="center"/>
              <w:rPr>
                <w:rFonts w:ascii="Arial" w:hAnsi="Arial" w:cs="Arial"/>
                <w:sz w:val="18"/>
                <w:szCs w:val="18"/>
              </w:rPr>
            </w:pPr>
            <w:r w:rsidRPr="00B30F71">
              <w:rPr>
                <w:rFonts w:ascii="Arial" w:hAnsi="Arial" w:cs="Arial"/>
                <w:sz w:val="18"/>
                <w:szCs w:val="18"/>
              </w:rPr>
              <w:t>2002</w:t>
            </w:r>
          </w:p>
        </w:tc>
        <w:tc>
          <w:tcPr>
            <w:tcW w:w="2426" w:type="dxa"/>
            <w:vAlign w:val="bottom"/>
          </w:tcPr>
          <w:p w:rsidR="00757918" w:rsidRPr="00B30F71" w:rsidRDefault="00757918" w:rsidP="00A10FB5">
            <w:pPr>
              <w:jc w:val="center"/>
              <w:rPr>
                <w:rFonts w:ascii="Arial" w:hAnsi="Arial" w:cs="Arial"/>
                <w:sz w:val="18"/>
                <w:szCs w:val="18"/>
              </w:rPr>
            </w:pPr>
            <w:r w:rsidRPr="00B30F71">
              <w:rPr>
                <w:rFonts w:ascii="Arial" w:hAnsi="Arial" w:cs="Arial"/>
                <w:sz w:val="18"/>
                <w:szCs w:val="18"/>
              </w:rPr>
              <w:t>155.2</w:t>
            </w:r>
          </w:p>
        </w:tc>
        <w:tc>
          <w:tcPr>
            <w:tcW w:w="2260" w:type="dxa"/>
            <w:vAlign w:val="bottom"/>
          </w:tcPr>
          <w:p w:rsidR="00757918" w:rsidRPr="00B30F71" w:rsidRDefault="00757918" w:rsidP="00A10FB5">
            <w:pPr>
              <w:jc w:val="center"/>
              <w:rPr>
                <w:rFonts w:ascii="Arial" w:hAnsi="Arial" w:cs="Arial"/>
                <w:sz w:val="18"/>
                <w:szCs w:val="18"/>
              </w:rPr>
            </w:pPr>
            <w:r w:rsidRPr="00B30F71">
              <w:rPr>
                <w:rFonts w:ascii="Arial" w:hAnsi="Arial" w:cs="Arial"/>
                <w:sz w:val="18"/>
                <w:szCs w:val="18"/>
              </w:rPr>
              <w:t>10</w:t>
            </w:r>
            <w:r>
              <w:rPr>
                <w:rFonts w:ascii="Arial" w:hAnsi="Arial" w:cs="Arial"/>
                <w:sz w:val="18"/>
                <w:szCs w:val="18"/>
              </w:rPr>
              <w:t>1</w:t>
            </w:r>
            <w:r w:rsidRPr="00B30F71">
              <w:rPr>
                <w:rFonts w:ascii="Arial" w:hAnsi="Arial" w:cs="Arial"/>
                <w:sz w:val="18"/>
                <w:szCs w:val="18"/>
              </w:rPr>
              <w:t>.</w:t>
            </w:r>
            <w:r>
              <w:rPr>
                <w:rFonts w:ascii="Arial" w:hAnsi="Arial" w:cs="Arial"/>
                <w:sz w:val="18"/>
                <w:szCs w:val="18"/>
              </w:rPr>
              <w:t>6</w:t>
            </w:r>
          </w:p>
        </w:tc>
        <w:tc>
          <w:tcPr>
            <w:tcW w:w="2211" w:type="dxa"/>
            <w:vAlign w:val="bottom"/>
          </w:tcPr>
          <w:p w:rsidR="00757918" w:rsidRPr="00B30F71" w:rsidRDefault="00757918" w:rsidP="00A10FB5">
            <w:pPr>
              <w:jc w:val="center"/>
              <w:rPr>
                <w:rFonts w:ascii="Arial" w:hAnsi="Arial" w:cs="Arial"/>
                <w:sz w:val="18"/>
                <w:szCs w:val="18"/>
              </w:rPr>
            </w:pPr>
            <w:r w:rsidRPr="00B30F71">
              <w:rPr>
                <w:rFonts w:ascii="Arial" w:hAnsi="Arial" w:cs="Arial"/>
                <w:sz w:val="18"/>
                <w:szCs w:val="18"/>
              </w:rPr>
              <w:t>25</w:t>
            </w:r>
            <w:r>
              <w:rPr>
                <w:rFonts w:ascii="Arial" w:hAnsi="Arial" w:cs="Arial"/>
                <w:sz w:val="18"/>
                <w:szCs w:val="18"/>
              </w:rPr>
              <w:t>6</w:t>
            </w:r>
            <w:r w:rsidRPr="00B30F71">
              <w:rPr>
                <w:rFonts w:ascii="Arial" w:hAnsi="Arial" w:cs="Arial"/>
                <w:sz w:val="18"/>
                <w:szCs w:val="18"/>
              </w:rPr>
              <w:t>.</w:t>
            </w:r>
            <w:r>
              <w:rPr>
                <w:rFonts w:ascii="Arial" w:hAnsi="Arial" w:cs="Arial"/>
                <w:sz w:val="18"/>
                <w:szCs w:val="18"/>
              </w:rPr>
              <w:t>8</w:t>
            </w:r>
          </w:p>
        </w:tc>
      </w:tr>
      <w:tr w:rsidR="00757918" w:rsidRPr="00B30F71" w:rsidTr="00A10FB5">
        <w:trPr>
          <w:trHeight w:val="342"/>
        </w:trPr>
        <w:tc>
          <w:tcPr>
            <w:tcW w:w="2425" w:type="dxa"/>
            <w:vAlign w:val="bottom"/>
          </w:tcPr>
          <w:p w:rsidR="00757918" w:rsidRPr="00B30F71" w:rsidRDefault="00757918" w:rsidP="00A10FB5">
            <w:pPr>
              <w:jc w:val="center"/>
              <w:rPr>
                <w:rFonts w:ascii="Arial" w:hAnsi="Arial" w:cs="Arial"/>
                <w:b/>
                <w:sz w:val="18"/>
                <w:szCs w:val="18"/>
              </w:rPr>
            </w:pPr>
            <w:r w:rsidRPr="00B30F71">
              <w:rPr>
                <w:rFonts w:ascii="Arial" w:hAnsi="Arial" w:cs="Arial"/>
                <w:b/>
                <w:sz w:val="18"/>
                <w:szCs w:val="18"/>
              </w:rPr>
              <w:t xml:space="preserve">2016 </w:t>
            </w:r>
          </w:p>
        </w:tc>
        <w:tc>
          <w:tcPr>
            <w:tcW w:w="2426" w:type="dxa"/>
            <w:vAlign w:val="bottom"/>
          </w:tcPr>
          <w:p w:rsidR="00757918" w:rsidRPr="00B30F71" w:rsidRDefault="00757918" w:rsidP="00A10FB5">
            <w:pPr>
              <w:jc w:val="center"/>
              <w:rPr>
                <w:rFonts w:ascii="Arial" w:hAnsi="Arial" w:cs="Arial"/>
                <w:sz w:val="18"/>
                <w:szCs w:val="18"/>
              </w:rPr>
            </w:pPr>
            <w:r>
              <w:rPr>
                <w:rFonts w:ascii="Arial" w:hAnsi="Arial" w:cs="Arial"/>
                <w:sz w:val="18"/>
                <w:szCs w:val="18"/>
              </w:rPr>
              <w:t>514.7</w:t>
            </w:r>
          </w:p>
        </w:tc>
        <w:tc>
          <w:tcPr>
            <w:tcW w:w="2260" w:type="dxa"/>
            <w:vAlign w:val="bottom"/>
          </w:tcPr>
          <w:p w:rsidR="00757918" w:rsidRPr="00B30F71" w:rsidRDefault="00757918" w:rsidP="00A10FB5">
            <w:pPr>
              <w:jc w:val="center"/>
              <w:rPr>
                <w:rFonts w:ascii="Arial" w:hAnsi="Arial" w:cs="Arial"/>
                <w:sz w:val="18"/>
                <w:szCs w:val="18"/>
              </w:rPr>
            </w:pPr>
            <w:r>
              <w:rPr>
                <w:rFonts w:ascii="Arial" w:hAnsi="Arial" w:cs="Arial"/>
                <w:sz w:val="18"/>
                <w:szCs w:val="18"/>
              </w:rPr>
              <w:t>305.1</w:t>
            </w:r>
          </w:p>
        </w:tc>
        <w:tc>
          <w:tcPr>
            <w:tcW w:w="2211" w:type="dxa"/>
            <w:vAlign w:val="bottom"/>
          </w:tcPr>
          <w:p w:rsidR="00757918" w:rsidRPr="00B30F71" w:rsidRDefault="00757918" w:rsidP="00A10FB5">
            <w:pPr>
              <w:jc w:val="center"/>
              <w:rPr>
                <w:rFonts w:ascii="Arial" w:hAnsi="Arial" w:cs="Arial"/>
                <w:sz w:val="18"/>
                <w:szCs w:val="18"/>
              </w:rPr>
            </w:pPr>
            <w:r>
              <w:rPr>
                <w:rFonts w:ascii="Arial" w:hAnsi="Arial" w:cs="Arial"/>
                <w:sz w:val="18"/>
                <w:szCs w:val="18"/>
              </w:rPr>
              <w:t>819.8</w:t>
            </w:r>
          </w:p>
        </w:tc>
      </w:tr>
      <w:tr w:rsidR="00757918" w:rsidRPr="00B30F71" w:rsidTr="00A10FB5">
        <w:trPr>
          <w:trHeight w:val="342"/>
        </w:trPr>
        <w:tc>
          <w:tcPr>
            <w:tcW w:w="2425" w:type="dxa"/>
            <w:vAlign w:val="bottom"/>
          </w:tcPr>
          <w:p w:rsidR="00757918" w:rsidRPr="00B30F71" w:rsidRDefault="00757918" w:rsidP="00A92EAB">
            <w:pPr>
              <w:jc w:val="center"/>
              <w:rPr>
                <w:rFonts w:ascii="Arial" w:hAnsi="Arial" w:cs="Arial"/>
                <w:b/>
                <w:sz w:val="18"/>
                <w:szCs w:val="18"/>
              </w:rPr>
            </w:pPr>
            <w:r>
              <w:rPr>
                <w:rFonts w:ascii="Arial" w:hAnsi="Arial" w:cs="Arial"/>
                <w:b/>
                <w:sz w:val="18"/>
                <w:szCs w:val="18"/>
              </w:rPr>
              <w:t xml:space="preserve">2017 </w:t>
            </w:r>
          </w:p>
        </w:tc>
        <w:tc>
          <w:tcPr>
            <w:tcW w:w="2426" w:type="dxa"/>
            <w:vAlign w:val="bottom"/>
          </w:tcPr>
          <w:p w:rsidR="00757918" w:rsidRDefault="00757918" w:rsidP="00A92EAB">
            <w:pPr>
              <w:jc w:val="center"/>
              <w:rPr>
                <w:rFonts w:ascii="Arial" w:hAnsi="Arial" w:cs="Arial"/>
                <w:sz w:val="18"/>
                <w:szCs w:val="18"/>
              </w:rPr>
            </w:pPr>
            <w:r>
              <w:rPr>
                <w:rFonts w:ascii="Arial" w:hAnsi="Arial" w:cs="Arial"/>
                <w:sz w:val="18"/>
                <w:szCs w:val="18"/>
              </w:rPr>
              <w:t>5</w:t>
            </w:r>
            <w:r w:rsidR="00A92EAB">
              <w:rPr>
                <w:rFonts w:ascii="Arial" w:hAnsi="Arial" w:cs="Arial"/>
                <w:sz w:val="18"/>
                <w:szCs w:val="18"/>
              </w:rPr>
              <w:t>96</w:t>
            </w:r>
            <w:r>
              <w:rPr>
                <w:rFonts w:ascii="Arial" w:hAnsi="Arial" w:cs="Arial"/>
                <w:sz w:val="18"/>
                <w:szCs w:val="18"/>
              </w:rPr>
              <w:t>.</w:t>
            </w:r>
            <w:r w:rsidR="00A92EAB">
              <w:rPr>
                <w:rFonts w:ascii="Arial" w:hAnsi="Arial" w:cs="Arial"/>
                <w:sz w:val="18"/>
                <w:szCs w:val="18"/>
              </w:rPr>
              <w:t>6</w:t>
            </w:r>
          </w:p>
        </w:tc>
        <w:tc>
          <w:tcPr>
            <w:tcW w:w="2260" w:type="dxa"/>
            <w:vAlign w:val="bottom"/>
          </w:tcPr>
          <w:p w:rsidR="00757918" w:rsidRDefault="00757918" w:rsidP="00A92EAB">
            <w:pPr>
              <w:jc w:val="center"/>
              <w:rPr>
                <w:rFonts w:ascii="Arial" w:hAnsi="Arial" w:cs="Arial"/>
                <w:sz w:val="18"/>
                <w:szCs w:val="18"/>
              </w:rPr>
            </w:pPr>
            <w:r>
              <w:rPr>
                <w:rFonts w:ascii="Arial" w:hAnsi="Arial" w:cs="Arial"/>
                <w:sz w:val="18"/>
                <w:szCs w:val="18"/>
              </w:rPr>
              <w:t>3</w:t>
            </w:r>
            <w:r w:rsidR="00A92EAB">
              <w:rPr>
                <w:rFonts w:ascii="Arial" w:hAnsi="Arial" w:cs="Arial"/>
                <w:sz w:val="18"/>
                <w:szCs w:val="18"/>
              </w:rPr>
              <w:t>57</w:t>
            </w:r>
            <w:r>
              <w:rPr>
                <w:rFonts w:ascii="Arial" w:hAnsi="Arial" w:cs="Arial"/>
                <w:sz w:val="18"/>
                <w:szCs w:val="18"/>
              </w:rPr>
              <w:t>.</w:t>
            </w:r>
            <w:r w:rsidR="00A92EAB">
              <w:rPr>
                <w:rFonts w:ascii="Arial" w:hAnsi="Arial" w:cs="Arial"/>
                <w:sz w:val="18"/>
                <w:szCs w:val="18"/>
              </w:rPr>
              <w:t>9</w:t>
            </w:r>
          </w:p>
        </w:tc>
        <w:tc>
          <w:tcPr>
            <w:tcW w:w="2211" w:type="dxa"/>
            <w:vAlign w:val="bottom"/>
          </w:tcPr>
          <w:p w:rsidR="00757918" w:rsidRDefault="00757918" w:rsidP="00A92EAB">
            <w:pPr>
              <w:jc w:val="center"/>
              <w:rPr>
                <w:rFonts w:ascii="Arial" w:hAnsi="Arial" w:cs="Arial"/>
                <w:sz w:val="18"/>
                <w:szCs w:val="18"/>
              </w:rPr>
            </w:pPr>
            <w:r>
              <w:rPr>
                <w:rFonts w:ascii="Arial" w:hAnsi="Arial" w:cs="Arial"/>
                <w:sz w:val="18"/>
                <w:szCs w:val="18"/>
              </w:rPr>
              <w:t>9</w:t>
            </w:r>
            <w:r w:rsidR="00A92EAB">
              <w:rPr>
                <w:rFonts w:ascii="Arial" w:hAnsi="Arial" w:cs="Arial"/>
                <w:sz w:val="18"/>
                <w:szCs w:val="18"/>
              </w:rPr>
              <w:t>54</w:t>
            </w:r>
            <w:r>
              <w:rPr>
                <w:rFonts w:ascii="Arial" w:hAnsi="Arial" w:cs="Arial"/>
                <w:sz w:val="18"/>
                <w:szCs w:val="18"/>
              </w:rPr>
              <w:t>.</w:t>
            </w:r>
            <w:r w:rsidR="00A92EAB">
              <w:rPr>
                <w:rFonts w:ascii="Arial" w:hAnsi="Arial" w:cs="Arial"/>
                <w:sz w:val="18"/>
                <w:szCs w:val="18"/>
              </w:rPr>
              <w:t>5</w:t>
            </w:r>
          </w:p>
        </w:tc>
      </w:tr>
    </w:tbl>
    <w:p w:rsidR="00757918" w:rsidRDefault="00757918" w:rsidP="00757918">
      <w:pPr>
        <w:pStyle w:val="ListeParagraf"/>
        <w:spacing w:line="360" w:lineRule="auto"/>
        <w:ind w:left="0" w:firstLine="708"/>
        <w:jc w:val="both"/>
        <w:rPr>
          <w:sz w:val="18"/>
          <w:szCs w:val="18"/>
        </w:rPr>
      </w:pPr>
    </w:p>
    <w:p w:rsidR="00757918" w:rsidRDefault="00757918" w:rsidP="00757918">
      <w:pPr>
        <w:pStyle w:val="ListeParagraf"/>
        <w:spacing w:line="360" w:lineRule="auto"/>
        <w:ind w:left="0" w:firstLine="708"/>
        <w:jc w:val="both"/>
        <w:rPr>
          <w:sz w:val="20"/>
          <w:szCs w:val="20"/>
        </w:rPr>
      </w:pPr>
      <w:r w:rsidRPr="00210FFC">
        <w:rPr>
          <w:sz w:val="20"/>
          <w:szCs w:val="20"/>
        </w:rPr>
        <w:t xml:space="preserve">Yıllar itibari ile hem kamu brüt iç borç stoku ve hem de kamu brüt toplam borç stoku arttığı için kamunun brüt toplam borç stoku da artmıştır ve </w:t>
      </w:r>
      <w:r w:rsidRPr="00F4786B">
        <w:rPr>
          <w:b/>
          <w:sz w:val="20"/>
          <w:szCs w:val="20"/>
        </w:rPr>
        <w:t>2002 yılında 256.8 milyar TL olan kamu brüt toplam borç stoku 2016 yılı sonunda 819.8 milyar TL olmuştur. Kamu brüt toplam borç stokunun artışı 2017 yılında da devam etmiş ve yı</w:t>
      </w:r>
      <w:r w:rsidR="00A92EAB" w:rsidRPr="00F4786B">
        <w:rPr>
          <w:b/>
          <w:sz w:val="20"/>
          <w:szCs w:val="20"/>
        </w:rPr>
        <w:t xml:space="preserve">l </w:t>
      </w:r>
      <w:r w:rsidRPr="00F4786B">
        <w:rPr>
          <w:b/>
          <w:sz w:val="20"/>
          <w:szCs w:val="20"/>
        </w:rPr>
        <w:t>sonunda 9</w:t>
      </w:r>
      <w:r w:rsidR="00A92EAB" w:rsidRPr="00F4786B">
        <w:rPr>
          <w:b/>
          <w:sz w:val="20"/>
          <w:szCs w:val="20"/>
        </w:rPr>
        <w:t>54</w:t>
      </w:r>
      <w:r w:rsidRPr="00F4786B">
        <w:rPr>
          <w:b/>
          <w:sz w:val="20"/>
          <w:szCs w:val="20"/>
        </w:rPr>
        <w:t>.</w:t>
      </w:r>
      <w:r w:rsidR="00A92EAB" w:rsidRPr="00F4786B">
        <w:rPr>
          <w:b/>
          <w:sz w:val="20"/>
          <w:szCs w:val="20"/>
        </w:rPr>
        <w:t xml:space="preserve">5 </w:t>
      </w:r>
      <w:r w:rsidRPr="00F4786B">
        <w:rPr>
          <w:b/>
          <w:sz w:val="20"/>
          <w:szCs w:val="20"/>
        </w:rPr>
        <w:t>milyar TL’ye yükselmiştir.</w:t>
      </w:r>
      <w:r w:rsidR="00A92EAB">
        <w:rPr>
          <w:sz w:val="20"/>
          <w:szCs w:val="20"/>
        </w:rPr>
        <w:t xml:space="preserve"> </w:t>
      </w:r>
      <w:r w:rsidR="00D914ED">
        <w:rPr>
          <w:sz w:val="20"/>
          <w:szCs w:val="20"/>
        </w:rPr>
        <w:t xml:space="preserve">Bir diğer ifade ile 15 yılda (2002-2017 yılları arasında) Kamu Brüt Toplam Borç Stoku % 272 artmıştır. </w:t>
      </w:r>
      <w:r w:rsidR="00A92EAB">
        <w:rPr>
          <w:sz w:val="20"/>
          <w:szCs w:val="20"/>
        </w:rPr>
        <w:t xml:space="preserve">Kamu Brüt Toplam Borç Stokunun son bir yıldaki artışı endişe vericidir. Zira son bir yılda Kamu Brüt Toplam Borç Stokundaki artış 134.7 </w:t>
      </w:r>
      <w:r w:rsidR="002E6F21">
        <w:rPr>
          <w:sz w:val="20"/>
          <w:szCs w:val="20"/>
        </w:rPr>
        <w:t xml:space="preserve">(954.5 -  819.8 = 134.7) </w:t>
      </w:r>
      <w:r w:rsidR="00A92EAB">
        <w:rPr>
          <w:sz w:val="20"/>
          <w:szCs w:val="20"/>
        </w:rPr>
        <w:t>milyar TL’dir.</w:t>
      </w:r>
    </w:p>
    <w:p w:rsidR="00BE4573" w:rsidRDefault="00882A48" w:rsidP="00094237">
      <w:pPr>
        <w:pStyle w:val="ListeParagraf"/>
        <w:tabs>
          <w:tab w:val="left" w:pos="284"/>
          <w:tab w:val="left" w:pos="993"/>
        </w:tabs>
        <w:spacing w:after="200" w:line="360" w:lineRule="auto"/>
        <w:ind w:left="0"/>
        <w:jc w:val="both"/>
        <w:rPr>
          <w:b/>
          <w:sz w:val="20"/>
          <w:szCs w:val="20"/>
        </w:rPr>
      </w:pPr>
      <w:r>
        <w:rPr>
          <w:b/>
          <w:sz w:val="20"/>
          <w:szCs w:val="20"/>
        </w:rPr>
        <w:tab/>
      </w:r>
      <w:r w:rsidR="00BE4573">
        <w:rPr>
          <w:b/>
          <w:sz w:val="20"/>
          <w:szCs w:val="20"/>
        </w:rPr>
        <w:t>Değerli Teşkilat Mensuplarımız,</w:t>
      </w:r>
    </w:p>
    <w:p w:rsidR="00094237" w:rsidRDefault="00882A48" w:rsidP="00094237">
      <w:pPr>
        <w:pStyle w:val="ListeParagraf"/>
        <w:tabs>
          <w:tab w:val="left" w:pos="284"/>
          <w:tab w:val="left" w:pos="993"/>
        </w:tabs>
        <w:spacing w:after="200" w:line="360" w:lineRule="auto"/>
        <w:ind w:left="0"/>
        <w:jc w:val="both"/>
        <w:rPr>
          <w:sz w:val="20"/>
          <w:szCs w:val="20"/>
        </w:rPr>
      </w:pPr>
      <w:r>
        <w:rPr>
          <w:sz w:val="20"/>
          <w:szCs w:val="20"/>
        </w:rPr>
        <w:tab/>
      </w:r>
      <w:r w:rsidR="00BE4573" w:rsidRPr="00BE4573">
        <w:rPr>
          <w:sz w:val="20"/>
          <w:szCs w:val="20"/>
        </w:rPr>
        <w:t>Borçlarla ilgili bu bilgileri sunduktan sonra</w:t>
      </w:r>
      <w:r w:rsidR="00094237" w:rsidRPr="00F65818">
        <w:rPr>
          <w:sz w:val="20"/>
          <w:szCs w:val="20"/>
        </w:rPr>
        <w:t xml:space="preserve"> </w:t>
      </w:r>
      <w:r w:rsidR="00BE4573">
        <w:rPr>
          <w:sz w:val="20"/>
          <w:szCs w:val="20"/>
        </w:rPr>
        <w:t>b</w:t>
      </w:r>
      <w:r w:rsidR="00094237" w:rsidRPr="00F65818">
        <w:rPr>
          <w:sz w:val="20"/>
          <w:szCs w:val="20"/>
        </w:rPr>
        <w:t xml:space="preserve">u ayki raporumuzda </w:t>
      </w:r>
      <w:r w:rsidR="00BE4573">
        <w:rPr>
          <w:sz w:val="20"/>
          <w:szCs w:val="20"/>
        </w:rPr>
        <w:t xml:space="preserve">yeni açıklanan </w:t>
      </w:r>
      <w:r w:rsidR="00E6710F">
        <w:rPr>
          <w:sz w:val="20"/>
          <w:szCs w:val="20"/>
        </w:rPr>
        <w:t xml:space="preserve">2018 yılı </w:t>
      </w:r>
      <w:r w:rsidR="00AE772D">
        <w:rPr>
          <w:sz w:val="20"/>
          <w:szCs w:val="20"/>
        </w:rPr>
        <w:t>Nisan</w:t>
      </w:r>
      <w:r w:rsidR="00E6710F">
        <w:rPr>
          <w:sz w:val="20"/>
          <w:szCs w:val="20"/>
        </w:rPr>
        <w:t xml:space="preserve"> ayı </w:t>
      </w:r>
      <w:r w:rsidR="00094237" w:rsidRPr="00F65818">
        <w:rPr>
          <w:sz w:val="20"/>
          <w:szCs w:val="20"/>
        </w:rPr>
        <w:t xml:space="preserve">Merkezi Yönetim Toplam Borç Stoku ile Merkezi Yönetim İç Borç ve Dış Borç </w:t>
      </w:r>
      <w:r w:rsidR="00094237">
        <w:rPr>
          <w:sz w:val="20"/>
          <w:szCs w:val="20"/>
        </w:rPr>
        <w:t>S</w:t>
      </w:r>
      <w:r w:rsidR="00094237" w:rsidRPr="00F65818">
        <w:rPr>
          <w:sz w:val="20"/>
          <w:szCs w:val="20"/>
        </w:rPr>
        <w:t>toku</w:t>
      </w:r>
      <w:r w:rsidR="00094237">
        <w:rPr>
          <w:sz w:val="20"/>
          <w:szCs w:val="20"/>
        </w:rPr>
        <w:t>’</w:t>
      </w:r>
      <w:r w:rsidR="00094237" w:rsidRPr="00F65818">
        <w:rPr>
          <w:sz w:val="20"/>
          <w:szCs w:val="20"/>
        </w:rPr>
        <w:t xml:space="preserve">nu vererek </w:t>
      </w:r>
      <w:r w:rsidR="00094237">
        <w:rPr>
          <w:sz w:val="20"/>
          <w:szCs w:val="20"/>
        </w:rPr>
        <w:t xml:space="preserve">sizlere Merkezi Yönetim Borçları hakkında </w:t>
      </w:r>
      <w:r w:rsidR="00E6710F">
        <w:rPr>
          <w:sz w:val="20"/>
          <w:szCs w:val="20"/>
        </w:rPr>
        <w:t xml:space="preserve">da </w:t>
      </w:r>
      <w:r w:rsidR="00094237">
        <w:rPr>
          <w:sz w:val="20"/>
          <w:szCs w:val="20"/>
        </w:rPr>
        <w:t xml:space="preserve">bilgiler sunmak </w:t>
      </w:r>
      <w:r w:rsidR="00094237" w:rsidRPr="00F65818">
        <w:rPr>
          <w:sz w:val="20"/>
          <w:szCs w:val="20"/>
        </w:rPr>
        <w:t xml:space="preserve">istiyoruz.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5"/>
        <w:gridCol w:w="2426"/>
        <w:gridCol w:w="2260"/>
        <w:gridCol w:w="2211"/>
      </w:tblGrid>
      <w:tr w:rsidR="00AF7B3A" w:rsidRPr="004D3231" w:rsidTr="00AF7B3A">
        <w:trPr>
          <w:trHeight w:val="668"/>
        </w:trPr>
        <w:tc>
          <w:tcPr>
            <w:tcW w:w="2425" w:type="dxa"/>
          </w:tcPr>
          <w:p w:rsidR="00AF7B3A" w:rsidRPr="004D3231" w:rsidRDefault="00AF7B3A" w:rsidP="00AF7B3A">
            <w:pPr>
              <w:jc w:val="center"/>
              <w:rPr>
                <w:rFonts w:ascii="Arial" w:hAnsi="Arial" w:cs="Arial"/>
                <w:b/>
                <w:sz w:val="18"/>
                <w:szCs w:val="18"/>
              </w:rPr>
            </w:pPr>
          </w:p>
          <w:p w:rsidR="00AF7B3A" w:rsidRPr="004D3231" w:rsidRDefault="00AF7B3A" w:rsidP="00AF7B3A">
            <w:pPr>
              <w:jc w:val="center"/>
              <w:rPr>
                <w:rFonts w:ascii="Arial" w:hAnsi="Arial" w:cs="Arial"/>
                <w:b/>
                <w:sz w:val="18"/>
                <w:szCs w:val="18"/>
              </w:rPr>
            </w:pPr>
            <w:r w:rsidRPr="004D3231">
              <w:rPr>
                <w:rFonts w:ascii="Arial" w:hAnsi="Arial" w:cs="Arial"/>
                <w:b/>
                <w:sz w:val="18"/>
                <w:szCs w:val="18"/>
              </w:rPr>
              <w:t>Yıl</w:t>
            </w:r>
          </w:p>
        </w:tc>
        <w:tc>
          <w:tcPr>
            <w:tcW w:w="2426" w:type="dxa"/>
          </w:tcPr>
          <w:p w:rsidR="00AF7B3A" w:rsidRPr="009F19CE" w:rsidRDefault="00AF7B3A" w:rsidP="00AF7B3A">
            <w:pPr>
              <w:jc w:val="center"/>
              <w:rPr>
                <w:rFonts w:ascii="Arial" w:hAnsi="Arial" w:cs="Arial"/>
                <w:b/>
                <w:sz w:val="18"/>
                <w:szCs w:val="18"/>
              </w:rPr>
            </w:pPr>
          </w:p>
          <w:p w:rsidR="00EC70DF" w:rsidRPr="009F19CE" w:rsidRDefault="00EC70DF" w:rsidP="00EC70DF">
            <w:pPr>
              <w:pStyle w:val="ListeParagraf"/>
              <w:tabs>
                <w:tab w:val="left" w:pos="0"/>
                <w:tab w:val="left" w:pos="284"/>
                <w:tab w:val="left" w:pos="993"/>
              </w:tabs>
              <w:spacing w:after="200"/>
              <w:ind w:left="0"/>
              <w:jc w:val="center"/>
              <w:rPr>
                <w:b/>
                <w:sz w:val="16"/>
                <w:szCs w:val="16"/>
              </w:rPr>
            </w:pPr>
            <w:r w:rsidRPr="009F19CE">
              <w:rPr>
                <w:b/>
                <w:sz w:val="16"/>
                <w:szCs w:val="16"/>
              </w:rPr>
              <w:t>Merkezi Yönetim</w:t>
            </w:r>
          </w:p>
          <w:p w:rsidR="00EC70DF" w:rsidRPr="009F19CE" w:rsidRDefault="00EC70DF" w:rsidP="00EC70DF">
            <w:pPr>
              <w:pStyle w:val="ListeParagraf"/>
              <w:tabs>
                <w:tab w:val="left" w:pos="0"/>
                <w:tab w:val="left" w:pos="284"/>
                <w:tab w:val="left" w:pos="993"/>
              </w:tabs>
              <w:spacing w:after="200"/>
              <w:ind w:left="0"/>
              <w:jc w:val="center"/>
              <w:rPr>
                <w:b/>
                <w:sz w:val="16"/>
                <w:szCs w:val="16"/>
              </w:rPr>
            </w:pPr>
            <w:r w:rsidRPr="009F19CE">
              <w:rPr>
                <w:b/>
                <w:sz w:val="16"/>
                <w:szCs w:val="16"/>
              </w:rPr>
              <w:t>Toplam Borç Stoku</w:t>
            </w:r>
          </w:p>
          <w:p w:rsidR="00AF7B3A" w:rsidRPr="009F19CE" w:rsidRDefault="00EC70DF" w:rsidP="00EC70DF">
            <w:pPr>
              <w:jc w:val="center"/>
              <w:rPr>
                <w:rFonts w:ascii="Arial" w:hAnsi="Arial" w:cs="Arial"/>
                <w:b/>
                <w:sz w:val="18"/>
                <w:szCs w:val="18"/>
              </w:rPr>
            </w:pPr>
            <w:r w:rsidRPr="009F19CE">
              <w:rPr>
                <w:rFonts w:ascii="Arial" w:hAnsi="Arial" w:cs="Arial"/>
                <w:b/>
                <w:sz w:val="16"/>
                <w:szCs w:val="16"/>
              </w:rPr>
              <w:t>(Milyar TL</w:t>
            </w:r>
            <w:r w:rsidR="00AF7B3A" w:rsidRPr="009F19CE">
              <w:rPr>
                <w:rFonts w:ascii="Arial" w:hAnsi="Arial" w:cs="Arial"/>
                <w:b/>
                <w:sz w:val="18"/>
                <w:szCs w:val="18"/>
              </w:rPr>
              <w:t>)</w:t>
            </w:r>
          </w:p>
        </w:tc>
        <w:tc>
          <w:tcPr>
            <w:tcW w:w="2260" w:type="dxa"/>
          </w:tcPr>
          <w:p w:rsidR="00AF7B3A" w:rsidRPr="009F19CE" w:rsidRDefault="00AF7B3A" w:rsidP="00AF7B3A">
            <w:pPr>
              <w:jc w:val="center"/>
              <w:rPr>
                <w:rFonts w:ascii="Arial" w:hAnsi="Arial" w:cs="Arial"/>
                <w:b/>
                <w:sz w:val="18"/>
                <w:szCs w:val="18"/>
              </w:rPr>
            </w:pPr>
          </w:p>
          <w:p w:rsidR="009F19CE" w:rsidRPr="009F19CE" w:rsidRDefault="009F19CE" w:rsidP="009F19CE">
            <w:pPr>
              <w:pStyle w:val="ListeParagraf"/>
              <w:tabs>
                <w:tab w:val="left" w:pos="0"/>
                <w:tab w:val="left" w:pos="284"/>
                <w:tab w:val="left" w:pos="993"/>
              </w:tabs>
              <w:spacing w:after="200"/>
              <w:ind w:left="0"/>
              <w:jc w:val="center"/>
              <w:rPr>
                <w:b/>
                <w:sz w:val="16"/>
                <w:szCs w:val="16"/>
              </w:rPr>
            </w:pPr>
            <w:r w:rsidRPr="009F19CE">
              <w:rPr>
                <w:b/>
                <w:sz w:val="16"/>
                <w:szCs w:val="16"/>
              </w:rPr>
              <w:t>Merkezi Yönetim</w:t>
            </w:r>
          </w:p>
          <w:p w:rsidR="009F19CE" w:rsidRPr="009F19CE" w:rsidRDefault="009F19CE" w:rsidP="009F19CE">
            <w:pPr>
              <w:pStyle w:val="ListeParagraf"/>
              <w:tabs>
                <w:tab w:val="left" w:pos="0"/>
                <w:tab w:val="left" w:pos="284"/>
                <w:tab w:val="left" w:pos="993"/>
              </w:tabs>
              <w:spacing w:after="200"/>
              <w:ind w:left="0"/>
              <w:jc w:val="center"/>
              <w:rPr>
                <w:b/>
                <w:sz w:val="16"/>
                <w:szCs w:val="16"/>
              </w:rPr>
            </w:pPr>
            <w:r w:rsidRPr="009F19CE">
              <w:rPr>
                <w:b/>
                <w:sz w:val="16"/>
                <w:szCs w:val="16"/>
              </w:rPr>
              <w:t>İç Borç Stoku</w:t>
            </w:r>
          </w:p>
          <w:p w:rsidR="00AF7B3A" w:rsidRPr="009F19CE" w:rsidRDefault="009F19CE" w:rsidP="009F19CE">
            <w:pPr>
              <w:jc w:val="center"/>
              <w:rPr>
                <w:rFonts w:ascii="Arial" w:hAnsi="Arial" w:cs="Arial"/>
                <w:b/>
                <w:sz w:val="18"/>
                <w:szCs w:val="18"/>
              </w:rPr>
            </w:pPr>
            <w:r w:rsidRPr="009F19CE">
              <w:rPr>
                <w:rFonts w:ascii="Arial" w:hAnsi="Arial" w:cs="Arial"/>
                <w:b/>
                <w:sz w:val="16"/>
                <w:szCs w:val="16"/>
              </w:rPr>
              <w:t>(Milyar TL</w:t>
            </w:r>
            <w:r w:rsidRPr="009F19CE">
              <w:rPr>
                <w:rFonts w:ascii="Arial" w:hAnsi="Arial" w:cs="Arial"/>
                <w:b/>
                <w:sz w:val="20"/>
                <w:szCs w:val="20"/>
              </w:rPr>
              <w:t>)</w:t>
            </w:r>
          </w:p>
        </w:tc>
        <w:tc>
          <w:tcPr>
            <w:tcW w:w="2211" w:type="dxa"/>
          </w:tcPr>
          <w:p w:rsidR="00AF7B3A" w:rsidRPr="009F19CE" w:rsidRDefault="00AF7B3A" w:rsidP="00AF7B3A">
            <w:pPr>
              <w:jc w:val="center"/>
              <w:rPr>
                <w:rFonts w:ascii="Arial" w:hAnsi="Arial" w:cs="Arial"/>
                <w:b/>
                <w:sz w:val="18"/>
                <w:szCs w:val="18"/>
              </w:rPr>
            </w:pPr>
          </w:p>
          <w:p w:rsidR="009F19CE" w:rsidRPr="009F19CE" w:rsidRDefault="009F19CE" w:rsidP="009F19CE">
            <w:pPr>
              <w:pStyle w:val="ListeParagraf"/>
              <w:tabs>
                <w:tab w:val="left" w:pos="0"/>
                <w:tab w:val="left" w:pos="284"/>
                <w:tab w:val="left" w:pos="993"/>
              </w:tabs>
              <w:spacing w:after="200"/>
              <w:ind w:left="0"/>
              <w:jc w:val="center"/>
              <w:rPr>
                <w:b/>
                <w:sz w:val="16"/>
                <w:szCs w:val="16"/>
              </w:rPr>
            </w:pPr>
            <w:r w:rsidRPr="009F19CE">
              <w:rPr>
                <w:b/>
                <w:sz w:val="16"/>
                <w:szCs w:val="16"/>
              </w:rPr>
              <w:t>Merkezi Yönetim Dış Borç Stoku</w:t>
            </w:r>
          </w:p>
          <w:p w:rsidR="00AF7B3A" w:rsidRPr="009F19CE" w:rsidRDefault="009F19CE" w:rsidP="009F19CE">
            <w:pPr>
              <w:tabs>
                <w:tab w:val="left" w:pos="260"/>
              </w:tabs>
              <w:jc w:val="center"/>
              <w:rPr>
                <w:rFonts w:ascii="Arial" w:hAnsi="Arial" w:cs="Arial"/>
                <w:b/>
                <w:sz w:val="18"/>
                <w:szCs w:val="18"/>
              </w:rPr>
            </w:pPr>
            <w:r w:rsidRPr="009F19CE">
              <w:rPr>
                <w:rFonts w:ascii="Arial" w:hAnsi="Arial" w:cs="Arial"/>
                <w:b/>
                <w:sz w:val="16"/>
                <w:szCs w:val="16"/>
              </w:rPr>
              <w:t>(Milyar TL)</w:t>
            </w:r>
          </w:p>
        </w:tc>
      </w:tr>
      <w:tr w:rsidR="00AF7B3A" w:rsidRPr="00B30F71" w:rsidTr="00AF7B3A">
        <w:trPr>
          <w:trHeight w:val="203"/>
        </w:trPr>
        <w:tc>
          <w:tcPr>
            <w:tcW w:w="2425" w:type="dxa"/>
            <w:vAlign w:val="bottom"/>
          </w:tcPr>
          <w:p w:rsidR="00AF7B3A" w:rsidRDefault="00AF7B3A" w:rsidP="00AF7B3A">
            <w:pPr>
              <w:jc w:val="center"/>
              <w:rPr>
                <w:rFonts w:ascii="Arial" w:hAnsi="Arial" w:cs="Arial"/>
                <w:sz w:val="18"/>
                <w:szCs w:val="18"/>
              </w:rPr>
            </w:pPr>
          </w:p>
          <w:p w:rsidR="00AF7B3A" w:rsidRPr="00F10BD0" w:rsidRDefault="00AF7B3A" w:rsidP="00AF7B3A">
            <w:pPr>
              <w:jc w:val="center"/>
              <w:rPr>
                <w:rFonts w:ascii="Arial" w:hAnsi="Arial" w:cs="Arial"/>
                <w:b/>
                <w:sz w:val="18"/>
                <w:szCs w:val="18"/>
              </w:rPr>
            </w:pPr>
            <w:r w:rsidRPr="00F10BD0">
              <w:rPr>
                <w:rFonts w:ascii="Arial" w:hAnsi="Arial" w:cs="Arial"/>
                <w:b/>
                <w:sz w:val="18"/>
                <w:szCs w:val="18"/>
              </w:rPr>
              <w:t>2005</w:t>
            </w:r>
          </w:p>
        </w:tc>
        <w:tc>
          <w:tcPr>
            <w:tcW w:w="2426" w:type="dxa"/>
            <w:vAlign w:val="bottom"/>
          </w:tcPr>
          <w:p w:rsidR="00AF7B3A" w:rsidRPr="00B30F71" w:rsidRDefault="009F19CE" w:rsidP="00AF7B3A">
            <w:pPr>
              <w:jc w:val="center"/>
              <w:rPr>
                <w:rFonts w:ascii="Arial" w:hAnsi="Arial" w:cs="Arial"/>
                <w:sz w:val="18"/>
                <w:szCs w:val="18"/>
              </w:rPr>
            </w:pPr>
            <w:r>
              <w:rPr>
                <w:rFonts w:ascii="Arial" w:hAnsi="Arial" w:cs="Arial"/>
                <w:sz w:val="18"/>
                <w:szCs w:val="18"/>
              </w:rPr>
              <w:t>331.9</w:t>
            </w:r>
          </w:p>
        </w:tc>
        <w:tc>
          <w:tcPr>
            <w:tcW w:w="2260" w:type="dxa"/>
            <w:vAlign w:val="bottom"/>
          </w:tcPr>
          <w:p w:rsidR="00AF7B3A" w:rsidRPr="00B30F71" w:rsidRDefault="009F19CE" w:rsidP="00AF7B3A">
            <w:pPr>
              <w:jc w:val="center"/>
              <w:rPr>
                <w:rFonts w:ascii="Arial" w:hAnsi="Arial" w:cs="Arial"/>
                <w:sz w:val="18"/>
                <w:szCs w:val="18"/>
              </w:rPr>
            </w:pPr>
            <w:r>
              <w:rPr>
                <w:rFonts w:ascii="Arial" w:hAnsi="Arial" w:cs="Arial"/>
                <w:sz w:val="18"/>
                <w:szCs w:val="18"/>
              </w:rPr>
              <w:t>244.8</w:t>
            </w:r>
          </w:p>
        </w:tc>
        <w:tc>
          <w:tcPr>
            <w:tcW w:w="2211" w:type="dxa"/>
            <w:vAlign w:val="bottom"/>
          </w:tcPr>
          <w:p w:rsidR="00AF7B3A" w:rsidRPr="00B30F71" w:rsidRDefault="009F19CE" w:rsidP="00AF7B3A">
            <w:pPr>
              <w:jc w:val="center"/>
              <w:rPr>
                <w:rFonts w:ascii="Arial" w:hAnsi="Arial" w:cs="Arial"/>
                <w:sz w:val="18"/>
                <w:szCs w:val="18"/>
              </w:rPr>
            </w:pPr>
            <w:r>
              <w:rPr>
                <w:rFonts w:ascii="Arial" w:hAnsi="Arial" w:cs="Arial"/>
                <w:sz w:val="18"/>
                <w:szCs w:val="18"/>
              </w:rPr>
              <w:t xml:space="preserve">   87.2</w:t>
            </w:r>
          </w:p>
        </w:tc>
      </w:tr>
      <w:tr w:rsidR="00AF7B3A" w:rsidRPr="00B30F71" w:rsidTr="00AF7B3A">
        <w:trPr>
          <w:trHeight w:val="342"/>
        </w:trPr>
        <w:tc>
          <w:tcPr>
            <w:tcW w:w="2425" w:type="dxa"/>
            <w:vAlign w:val="bottom"/>
          </w:tcPr>
          <w:p w:rsidR="00AF7B3A" w:rsidRPr="00B30F71" w:rsidRDefault="00AF7B3A" w:rsidP="00AF7B3A">
            <w:pPr>
              <w:jc w:val="center"/>
              <w:rPr>
                <w:rFonts w:ascii="Arial" w:hAnsi="Arial" w:cs="Arial"/>
                <w:b/>
                <w:sz w:val="18"/>
                <w:szCs w:val="18"/>
              </w:rPr>
            </w:pPr>
            <w:r w:rsidRPr="00B30F71">
              <w:rPr>
                <w:rFonts w:ascii="Arial" w:hAnsi="Arial" w:cs="Arial"/>
                <w:b/>
                <w:sz w:val="18"/>
                <w:szCs w:val="18"/>
              </w:rPr>
              <w:t>201</w:t>
            </w:r>
            <w:r>
              <w:rPr>
                <w:rFonts w:ascii="Arial" w:hAnsi="Arial" w:cs="Arial"/>
                <w:b/>
                <w:sz w:val="18"/>
                <w:szCs w:val="18"/>
              </w:rPr>
              <w:t>7</w:t>
            </w:r>
            <w:r w:rsidRPr="00B30F71">
              <w:rPr>
                <w:rFonts w:ascii="Arial" w:hAnsi="Arial" w:cs="Arial"/>
                <w:b/>
                <w:sz w:val="18"/>
                <w:szCs w:val="18"/>
              </w:rPr>
              <w:t xml:space="preserve"> </w:t>
            </w:r>
          </w:p>
        </w:tc>
        <w:tc>
          <w:tcPr>
            <w:tcW w:w="2426" w:type="dxa"/>
            <w:vAlign w:val="bottom"/>
          </w:tcPr>
          <w:p w:rsidR="00AF7B3A" w:rsidRPr="00B30F71" w:rsidRDefault="009F19CE" w:rsidP="00AF7B3A">
            <w:pPr>
              <w:jc w:val="center"/>
              <w:rPr>
                <w:rFonts w:ascii="Arial" w:hAnsi="Arial" w:cs="Arial"/>
                <w:sz w:val="18"/>
                <w:szCs w:val="18"/>
              </w:rPr>
            </w:pPr>
            <w:r>
              <w:rPr>
                <w:rFonts w:ascii="Arial" w:hAnsi="Arial" w:cs="Arial"/>
                <w:sz w:val="18"/>
                <w:szCs w:val="18"/>
              </w:rPr>
              <w:t>876.5</w:t>
            </w:r>
          </w:p>
        </w:tc>
        <w:tc>
          <w:tcPr>
            <w:tcW w:w="2260" w:type="dxa"/>
            <w:vAlign w:val="bottom"/>
          </w:tcPr>
          <w:p w:rsidR="00AF7B3A" w:rsidRPr="00B30F71" w:rsidRDefault="009F19CE" w:rsidP="00AF7B3A">
            <w:pPr>
              <w:jc w:val="center"/>
              <w:rPr>
                <w:rFonts w:ascii="Arial" w:hAnsi="Arial" w:cs="Arial"/>
                <w:sz w:val="18"/>
                <w:szCs w:val="18"/>
              </w:rPr>
            </w:pPr>
            <w:r>
              <w:rPr>
                <w:rFonts w:ascii="Arial" w:hAnsi="Arial" w:cs="Arial"/>
                <w:sz w:val="18"/>
                <w:szCs w:val="18"/>
              </w:rPr>
              <w:t>535.4</w:t>
            </w:r>
          </w:p>
        </w:tc>
        <w:tc>
          <w:tcPr>
            <w:tcW w:w="2211" w:type="dxa"/>
            <w:vAlign w:val="bottom"/>
          </w:tcPr>
          <w:p w:rsidR="00AF7B3A" w:rsidRPr="00B30F71" w:rsidRDefault="009F19CE" w:rsidP="00AF7B3A">
            <w:pPr>
              <w:jc w:val="center"/>
              <w:rPr>
                <w:rFonts w:ascii="Arial" w:hAnsi="Arial" w:cs="Arial"/>
                <w:sz w:val="18"/>
                <w:szCs w:val="18"/>
              </w:rPr>
            </w:pPr>
            <w:r>
              <w:rPr>
                <w:rFonts w:ascii="Arial" w:hAnsi="Arial" w:cs="Arial"/>
                <w:sz w:val="18"/>
                <w:szCs w:val="18"/>
              </w:rPr>
              <w:t>341.0</w:t>
            </w:r>
          </w:p>
        </w:tc>
      </w:tr>
      <w:tr w:rsidR="00AF7B3A" w:rsidTr="00AF7B3A">
        <w:trPr>
          <w:trHeight w:val="342"/>
        </w:trPr>
        <w:tc>
          <w:tcPr>
            <w:tcW w:w="2425" w:type="dxa"/>
            <w:vAlign w:val="bottom"/>
          </w:tcPr>
          <w:p w:rsidR="00AF7B3A" w:rsidRPr="00B30F71" w:rsidRDefault="00AF7B3A" w:rsidP="00D914ED">
            <w:pPr>
              <w:jc w:val="center"/>
              <w:rPr>
                <w:rFonts w:ascii="Arial" w:hAnsi="Arial" w:cs="Arial"/>
                <w:b/>
                <w:sz w:val="18"/>
                <w:szCs w:val="18"/>
              </w:rPr>
            </w:pPr>
            <w:r>
              <w:rPr>
                <w:rFonts w:ascii="Arial" w:hAnsi="Arial" w:cs="Arial"/>
                <w:b/>
                <w:sz w:val="18"/>
                <w:szCs w:val="18"/>
              </w:rPr>
              <w:t>2018 (</w:t>
            </w:r>
            <w:r w:rsidR="00D914ED">
              <w:rPr>
                <w:rFonts w:ascii="Arial" w:hAnsi="Arial" w:cs="Arial"/>
                <w:b/>
                <w:sz w:val="18"/>
                <w:szCs w:val="18"/>
              </w:rPr>
              <w:t>Nisan</w:t>
            </w:r>
            <w:r>
              <w:rPr>
                <w:rFonts w:ascii="Arial" w:hAnsi="Arial" w:cs="Arial"/>
                <w:b/>
                <w:sz w:val="18"/>
                <w:szCs w:val="18"/>
              </w:rPr>
              <w:t xml:space="preserve">) </w:t>
            </w:r>
          </w:p>
        </w:tc>
        <w:tc>
          <w:tcPr>
            <w:tcW w:w="2426" w:type="dxa"/>
            <w:vAlign w:val="bottom"/>
          </w:tcPr>
          <w:p w:rsidR="00AF7B3A" w:rsidRDefault="009F19CE" w:rsidP="00D914ED">
            <w:pPr>
              <w:jc w:val="center"/>
              <w:rPr>
                <w:rFonts w:ascii="Arial" w:hAnsi="Arial" w:cs="Arial"/>
                <w:sz w:val="18"/>
                <w:szCs w:val="18"/>
              </w:rPr>
            </w:pPr>
            <w:r>
              <w:rPr>
                <w:rFonts w:ascii="Arial" w:hAnsi="Arial" w:cs="Arial"/>
                <w:sz w:val="18"/>
                <w:szCs w:val="18"/>
              </w:rPr>
              <w:t>9</w:t>
            </w:r>
            <w:r w:rsidR="00D914ED">
              <w:rPr>
                <w:rFonts w:ascii="Arial" w:hAnsi="Arial" w:cs="Arial"/>
                <w:sz w:val="18"/>
                <w:szCs w:val="18"/>
              </w:rPr>
              <w:t>21</w:t>
            </w:r>
            <w:r>
              <w:rPr>
                <w:rFonts w:ascii="Arial" w:hAnsi="Arial" w:cs="Arial"/>
                <w:sz w:val="18"/>
                <w:szCs w:val="18"/>
              </w:rPr>
              <w:t>.1</w:t>
            </w:r>
          </w:p>
        </w:tc>
        <w:tc>
          <w:tcPr>
            <w:tcW w:w="2260" w:type="dxa"/>
            <w:vAlign w:val="bottom"/>
          </w:tcPr>
          <w:p w:rsidR="00AF7B3A" w:rsidRDefault="009F19CE" w:rsidP="00D914ED">
            <w:pPr>
              <w:jc w:val="center"/>
              <w:rPr>
                <w:rFonts w:ascii="Arial" w:hAnsi="Arial" w:cs="Arial"/>
                <w:sz w:val="18"/>
                <w:szCs w:val="18"/>
              </w:rPr>
            </w:pPr>
            <w:r>
              <w:rPr>
                <w:rFonts w:ascii="Arial" w:hAnsi="Arial" w:cs="Arial"/>
                <w:sz w:val="18"/>
                <w:szCs w:val="18"/>
              </w:rPr>
              <w:t>55</w:t>
            </w:r>
            <w:r w:rsidR="00D914ED">
              <w:rPr>
                <w:rFonts w:ascii="Arial" w:hAnsi="Arial" w:cs="Arial"/>
                <w:sz w:val="18"/>
                <w:szCs w:val="18"/>
              </w:rPr>
              <w:t>3</w:t>
            </w:r>
            <w:r>
              <w:rPr>
                <w:rFonts w:ascii="Arial" w:hAnsi="Arial" w:cs="Arial"/>
                <w:sz w:val="18"/>
                <w:szCs w:val="18"/>
              </w:rPr>
              <w:t>.</w:t>
            </w:r>
            <w:r w:rsidR="00D914ED">
              <w:rPr>
                <w:rFonts w:ascii="Arial" w:hAnsi="Arial" w:cs="Arial"/>
                <w:sz w:val="18"/>
                <w:szCs w:val="18"/>
              </w:rPr>
              <w:t>1</w:t>
            </w:r>
          </w:p>
        </w:tc>
        <w:tc>
          <w:tcPr>
            <w:tcW w:w="2211" w:type="dxa"/>
            <w:vAlign w:val="bottom"/>
          </w:tcPr>
          <w:p w:rsidR="00AF7B3A" w:rsidRDefault="009F19CE" w:rsidP="004E47D9">
            <w:pPr>
              <w:jc w:val="center"/>
              <w:rPr>
                <w:rFonts w:ascii="Arial" w:hAnsi="Arial" w:cs="Arial"/>
                <w:sz w:val="18"/>
                <w:szCs w:val="18"/>
              </w:rPr>
            </w:pPr>
            <w:r>
              <w:rPr>
                <w:rFonts w:ascii="Arial" w:hAnsi="Arial" w:cs="Arial"/>
                <w:sz w:val="18"/>
                <w:szCs w:val="18"/>
              </w:rPr>
              <w:t>36</w:t>
            </w:r>
            <w:r w:rsidR="00D914ED">
              <w:rPr>
                <w:rFonts w:ascii="Arial" w:hAnsi="Arial" w:cs="Arial"/>
                <w:sz w:val="18"/>
                <w:szCs w:val="18"/>
              </w:rPr>
              <w:t>8</w:t>
            </w:r>
            <w:r>
              <w:rPr>
                <w:rFonts w:ascii="Arial" w:hAnsi="Arial" w:cs="Arial"/>
                <w:sz w:val="18"/>
                <w:szCs w:val="18"/>
              </w:rPr>
              <w:t>.</w:t>
            </w:r>
            <w:r w:rsidR="004E47D9">
              <w:rPr>
                <w:rFonts w:ascii="Arial" w:hAnsi="Arial" w:cs="Arial"/>
                <w:sz w:val="18"/>
                <w:szCs w:val="18"/>
              </w:rPr>
              <w:t>0</w:t>
            </w:r>
          </w:p>
        </w:tc>
      </w:tr>
    </w:tbl>
    <w:p w:rsidR="00094237" w:rsidRDefault="00094237" w:rsidP="00094237">
      <w:pPr>
        <w:tabs>
          <w:tab w:val="left" w:pos="284"/>
          <w:tab w:val="left" w:pos="993"/>
        </w:tabs>
        <w:spacing w:after="200" w:line="360" w:lineRule="auto"/>
        <w:jc w:val="both"/>
        <w:rPr>
          <w:sz w:val="20"/>
          <w:szCs w:val="20"/>
        </w:rPr>
      </w:pPr>
    </w:p>
    <w:p w:rsidR="00094237" w:rsidRDefault="00094237" w:rsidP="00094237">
      <w:pPr>
        <w:pStyle w:val="ListeParagraf"/>
        <w:tabs>
          <w:tab w:val="left" w:pos="0"/>
          <w:tab w:val="left" w:pos="284"/>
          <w:tab w:val="left" w:pos="993"/>
        </w:tabs>
        <w:spacing w:after="200" w:line="360" w:lineRule="auto"/>
        <w:ind w:left="0"/>
        <w:jc w:val="both"/>
        <w:rPr>
          <w:sz w:val="20"/>
          <w:szCs w:val="20"/>
        </w:rPr>
      </w:pPr>
      <w:r>
        <w:rPr>
          <w:sz w:val="20"/>
          <w:szCs w:val="20"/>
        </w:rPr>
        <w:tab/>
        <w:t xml:space="preserve">Görüldüğü gibi, Merkezi Yönetime ait hem İç Borç Stoku ve hem de Dış Borç Stoku dolayısı ile de Toplam Borç Stoku yıldan yıla artmıştır. </w:t>
      </w:r>
      <w:r w:rsidRPr="00F4786B">
        <w:rPr>
          <w:b/>
          <w:sz w:val="20"/>
          <w:szCs w:val="20"/>
        </w:rPr>
        <w:t>2005 yılında 331.9 milyar TL olan Merkezi Yönetim Toplam Borç Stoku yıllar itibariyle artmış ve 2017 yılı sonunda 876.5 milyar TL’yi bulmuştur. Merkezi Yönetim Toplam B</w:t>
      </w:r>
      <w:r w:rsidR="00E6710F" w:rsidRPr="00F4786B">
        <w:rPr>
          <w:b/>
          <w:sz w:val="20"/>
          <w:szCs w:val="20"/>
        </w:rPr>
        <w:t xml:space="preserve">orç Stoku’ndaki artış 2018 yılında </w:t>
      </w:r>
      <w:r w:rsidRPr="00F4786B">
        <w:rPr>
          <w:b/>
          <w:sz w:val="20"/>
          <w:szCs w:val="20"/>
        </w:rPr>
        <w:t xml:space="preserve">da devam etmiş ve </w:t>
      </w:r>
      <w:r w:rsidR="00405E01">
        <w:rPr>
          <w:b/>
          <w:sz w:val="20"/>
          <w:szCs w:val="20"/>
        </w:rPr>
        <w:t xml:space="preserve">Nisan </w:t>
      </w:r>
      <w:r w:rsidR="00E6710F" w:rsidRPr="00F4786B">
        <w:rPr>
          <w:b/>
          <w:sz w:val="20"/>
          <w:szCs w:val="20"/>
        </w:rPr>
        <w:t>ayında 9</w:t>
      </w:r>
      <w:r w:rsidR="00405E01">
        <w:rPr>
          <w:b/>
          <w:sz w:val="20"/>
          <w:szCs w:val="20"/>
        </w:rPr>
        <w:t>21</w:t>
      </w:r>
      <w:r w:rsidR="00E6710F" w:rsidRPr="00F4786B">
        <w:rPr>
          <w:b/>
          <w:sz w:val="20"/>
          <w:szCs w:val="20"/>
        </w:rPr>
        <w:t>.1</w:t>
      </w:r>
      <w:r w:rsidRPr="00F4786B">
        <w:rPr>
          <w:b/>
          <w:sz w:val="20"/>
          <w:szCs w:val="20"/>
        </w:rPr>
        <w:t xml:space="preserve"> milyar TL’yi bulmuştur.</w:t>
      </w:r>
      <w:r>
        <w:rPr>
          <w:sz w:val="20"/>
          <w:szCs w:val="20"/>
        </w:rPr>
        <w:t xml:space="preserve"> </w:t>
      </w:r>
      <w:r w:rsidRPr="00231966">
        <w:rPr>
          <w:b/>
          <w:sz w:val="20"/>
          <w:szCs w:val="20"/>
        </w:rPr>
        <w:t xml:space="preserve">Son </w:t>
      </w:r>
      <w:r w:rsidR="00405E01">
        <w:rPr>
          <w:b/>
          <w:sz w:val="20"/>
          <w:szCs w:val="20"/>
        </w:rPr>
        <w:t>4</w:t>
      </w:r>
      <w:r w:rsidRPr="00231966">
        <w:rPr>
          <w:b/>
          <w:sz w:val="20"/>
          <w:szCs w:val="20"/>
        </w:rPr>
        <w:t xml:space="preserve"> ayda Merkezi Yönetim Toplam Borç Stoku </w:t>
      </w:r>
      <w:r w:rsidR="00405E01">
        <w:rPr>
          <w:b/>
          <w:sz w:val="20"/>
          <w:szCs w:val="20"/>
        </w:rPr>
        <w:t>44</w:t>
      </w:r>
      <w:r w:rsidRPr="00231966">
        <w:rPr>
          <w:b/>
          <w:sz w:val="20"/>
          <w:szCs w:val="20"/>
        </w:rPr>
        <w:t>.</w:t>
      </w:r>
      <w:r w:rsidR="00E6710F">
        <w:rPr>
          <w:b/>
          <w:sz w:val="20"/>
          <w:szCs w:val="20"/>
        </w:rPr>
        <w:t>6</w:t>
      </w:r>
      <w:r w:rsidRPr="00231966">
        <w:rPr>
          <w:b/>
          <w:sz w:val="20"/>
          <w:szCs w:val="20"/>
        </w:rPr>
        <w:t xml:space="preserve"> (</w:t>
      </w:r>
      <w:r w:rsidR="00E6710F">
        <w:rPr>
          <w:b/>
          <w:sz w:val="20"/>
          <w:szCs w:val="20"/>
        </w:rPr>
        <w:t>9</w:t>
      </w:r>
      <w:r w:rsidR="00405E01">
        <w:rPr>
          <w:b/>
          <w:sz w:val="20"/>
          <w:szCs w:val="20"/>
        </w:rPr>
        <w:t>21</w:t>
      </w:r>
      <w:r w:rsidR="00E6710F">
        <w:rPr>
          <w:b/>
          <w:sz w:val="20"/>
          <w:szCs w:val="20"/>
        </w:rPr>
        <w:t>.1</w:t>
      </w:r>
      <w:r w:rsidRPr="00231966">
        <w:rPr>
          <w:b/>
          <w:sz w:val="20"/>
          <w:szCs w:val="20"/>
        </w:rPr>
        <w:t xml:space="preserve"> - 876.5 = </w:t>
      </w:r>
      <w:r w:rsidR="00405E01">
        <w:rPr>
          <w:b/>
          <w:sz w:val="20"/>
          <w:szCs w:val="20"/>
        </w:rPr>
        <w:t>44</w:t>
      </w:r>
      <w:r w:rsidRPr="00231966">
        <w:rPr>
          <w:b/>
          <w:sz w:val="20"/>
          <w:szCs w:val="20"/>
        </w:rPr>
        <w:t>.</w:t>
      </w:r>
      <w:r w:rsidR="00E6710F">
        <w:rPr>
          <w:b/>
          <w:sz w:val="20"/>
          <w:szCs w:val="20"/>
        </w:rPr>
        <w:t>6</w:t>
      </w:r>
      <w:r w:rsidRPr="00231966">
        <w:rPr>
          <w:b/>
          <w:sz w:val="20"/>
          <w:szCs w:val="20"/>
        </w:rPr>
        <w:t>) milyar TL artmıştır.</w:t>
      </w:r>
      <w:r>
        <w:rPr>
          <w:sz w:val="20"/>
          <w:szCs w:val="20"/>
        </w:rPr>
        <w:t xml:space="preserve"> Bu gidiş hayra alamet değildir. 2017 yılı sonundaki 876.5 milyar TL’lik </w:t>
      </w:r>
      <w:r>
        <w:rPr>
          <w:b/>
          <w:sz w:val="20"/>
          <w:szCs w:val="20"/>
        </w:rPr>
        <w:t>b</w:t>
      </w:r>
      <w:r w:rsidRPr="00ED70F9">
        <w:rPr>
          <w:b/>
          <w:sz w:val="20"/>
          <w:szCs w:val="20"/>
        </w:rPr>
        <w:t>u borç miktarı 2017 yılı</w:t>
      </w:r>
      <w:r>
        <w:rPr>
          <w:b/>
          <w:sz w:val="20"/>
          <w:szCs w:val="20"/>
        </w:rPr>
        <w:t>nın 677.7 milyar TL’lik</w:t>
      </w:r>
      <w:r w:rsidRPr="00ED70F9">
        <w:rPr>
          <w:b/>
          <w:sz w:val="20"/>
          <w:szCs w:val="20"/>
        </w:rPr>
        <w:t xml:space="preserve"> </w:t>
      </w:r>
      <w:r>
        <w:rPr>
          <w:b/>
          <w:sz w:val="20"/>
          <w:szCs w:val="20"/>
        </w:rPr>
        <w:t xml:space="preserve">bütçe </w:t>
      </w:r>
      <w:r w:rsidRPr="00ED70F9">
        <w:rPr>
          <w:b/>
          <w:sz w:val="20"/>
          <w:szCs w:val="20"/>
        </w:rPr>
        <w:t>harcamaları (</w:t>
      </w:r>
      <w:r>
        <w:rPr>
          <w:b/>
          <w:sz w:val="20"/>
          <w:szCs w:val="20"/>
        </w:rPr>
        <w:t xml:space="preserve">Bütçe </w:t>
      </w:r>
      <w:r w:rsidRPr="00ED70F9">
        <w:rPr>
          <w:b/>
          <w:sz w:val="20"/>
          <w:szCs w:val="20"/>
        </w:rPr>
        <w:t>giderler</w:t>
      </w:r>
      <w:r>
        <w:rPr>
          <w:b/>
          <w:sz w:val="20"/>
          <w:szCs w:val="20"/>
        </w:rPr>
        <w:t>i</w:t>
      </w:r>
      <w:r w:rsidRPr="00ED70F9">
        <w:rPr>
          <w:b/>
          <w:sz w:val="20"/>
          <w:szCs w:val="20"/>
        </w:rPr>
        <w:t xml:space="preserve">)’ndan </w:t>
      </w:r>
      <w:r>
        <w:rPr>
          <w:b/>
          <w:sz w:val="20"/>
          <w:szCs w:val="20"/>
        </w:rPr>
        <w:t xml:space="preserve">198.8 (876.5 - 677.7 =198.8) milyar TL daha </w:t>
      </w:r>
      <w:r w:rsidRPr="00ED70F9">
        <w:rPr>
          <w:b/>
          <w:sz w:val="20"/>
          <w:szCs w:val="20"/>
        </w:rPr>
        <w:t>fazladır.</w:t>
      </w:r>
      <w:r>
        <w:rPr>
          <w:sz w:val="20"/>
          <w:szCs w:val="20"/>
        </w:rPr>
        <w:t xml:space="preserve"> Merkezi Yönetim Toplam Borç Stoku’nun bu durumu Türkiye ekonomisinin iyi yönetilmediğinin en güzel göstergesidir.</w:t>
      </w:r>
    </w:p>
    <w:p w:rsidR="00757918" w:rsidRPr="00210FFC" w:rsidRDefault="00757918" w:rsidP="00757918">
      <w:pPr>
        <w:pStyle w:val="ListeParagraf"/>
        <w:tabs>
          <w:tab w:val="left" w:pos="284"/>
          <w:tab w:val="left" w:pos="993"/>
        </w:tabs>
        <w:spacing w:after="200" w:line="360" w:lineRule="auto"/>
        <w:ind w:left="0"/>
        <w:jc w:val="both"/>
        <w:rPr>
          <w:sz w:val="20"/>
          <w:szCs w:val="20"/>
        </w:rPr>
      </w:pPr>
    </w:p>
    <w:p w:rsidR="003242FB" w:rsidRDefault="003242FB" w:rsidP="00513535">
      <w:pPr>
        <w:pStyle w:val="ListeParagraf"/>
        <w:numPr>
          <w:ilvl w:val="0"/>
          <w:numId w:val="1"/>
        </w:numPr>
        <w:tabs>
          <w:tab w:val="left" w:pos="284"/>
        </w:tabs>
        <w:spacing w:after="200" w:line="360" w:lineRule="auto"/>
        <w:ind w:left="0" w:firstLine="0"/>
        <w:jc w:val="both"/>
        <w:rPr>
          <w:sz w:val="20"/>
          <w:szCs w:val="20"/>
        </w:rPr>
      </w:pPr>
      <w:r w:rsidRPr="004D3231">
        <w:rPr>
          <w:b/>
          <w:sz w:val="20"/>
          <w:szCs w:val="20"/>
        </w:rPr>
        <w:t xml:space="preserve">Dış Ticaret. </w:t>
      </w:r>
      <w:r w:rsidR="00834009" w:rsidRPr="00EA1AD0">
        <w:rPr>
          <w:sz w:val="20"/>
          <w:szCs w:val="20"/>
        </w:rPr>
        <w:t xml:space="preserve">TÜİK </w:t>
      </w:r>
      <w:r w:rsidR="00E15BC5">
        <w:rPr>
          <w:sz w:val="20"/>
          <w:szCs w:val="20"/>
        </w:rPr>
        <w:t>tarafından 201</w:t>
      </w:r>
      <w:r w:rsidR="00830777">
        <w:rPr>
          <w:sz w:val="20"/>
          <w:szCs w:val="20"/>
        </w:rPr>
        <w:t>8</w:t>
      </w:r>
      <w:r w:rsidR="00E15BC5">
        <w:rPr>
          <w:sz w:val="20"/>
          <w:szCs w:val="20"/>
        </w:rPr>
        <w:t xml:space="preserve"> yılının </w:t>
      </w:r>
      <w:r w:rsidR="004E47D9">
        <w:rPr>
          <w:sz w:val="20"/>
          <w:szCs w:val="20"/>
        </w:rPr>
        <w:t>Nisan</w:t>
      </w:r>
      <w:r w:rsidR="00691ACE">
        <w:rPr>
          <w:sz w:val="20"/>
          <w:szCs w:val="20"/>
        </w:rPr>
        <w:t xml:space="preserve"> </w:t>
      </w:r>
      <w:r w:rsidR="00E15BC5">
        <w:rPr>
          <w:sz w:val="20"/>
          <w:szCs w:val="20"/>
        </w:rPr>
        <w:t xml:space="preserve">ayına ait dış ticaret </w:t>
      </w:r>
      <w:r w:rsidR="002E6F21">
        <w:rPr>
          <w:sz w:val="20"/>
          <w:szCs w:val="20"/>
        </w:rPr>
        <w:t xml:space="preserve">verileri </w:t>
      </w:r>
      <w:r w:rsidR="00E15BC5">
        <w:rPr>
          <w:sz w:val="20"/>
          <w:szCs w:val="20"/>
        </w:rPr>
        <w:t>açıklandı. Bu verilere göre</w:t>
      </w:r>
      <w:r w:rsidR="00FF29ED">
        <w:rPr>
          <w:sz w:val="20"/>
          <w:szCs w:val="20"/>
        </w:rPr>
        <w:t>,</w:t>
      </w:r>
      <w:r w:rsidR="00E15BC5">
        <w:rPr>
          <w:sz w:val="20"/>
          <w:szCs w:val="20"/>
        </w:rPr>
        <w:t xml:space="preserve"> </w:t>
      </w:r>
      <w:r w:rsidR="00DB71B2" w:rsidRPr="00F4786B">
        <w:rPr>
          <w:b/>
          <w:sz w:val="20"/>
          <w:szCs w:val="20"/>
        </w:rPr>
        <w:t>201</w:t>
      </w:r>
      <w:r w:rsidR="00830777" w:rsidRPr="00F4786B">
        <w:rPr>
          <w:b/>
          <w:sz w:val="20"/>
          <w:szCs w:val="20"/>
        </w:rPr>
        <w:t>8</w:t>
      </w:r>
      <w:r w:rsidR="00DB71B2" w:rsidRPr="00F4786B">
        <w:rPr>
          <w:b/>
          <w:sz w:val="20"/>
          <w:szCs w:val="20"/>
        </w:rPr>
        <w:t xml:space="preserve"> yılının </w:t>
      </w:r>
      <w:r w:rsidR="00513C97" w:rsidRPr="00F4786B">
        <w:rPr>
          <w:b/>
          <w:sz w:val="20"/>
          <w:szCs w:val="20"/>
        </w:rPr>
        <w:t xml:space="preserve">ilk </w:t>
      </w:r>
      <w:r w:rsidR="004E47D9">
        <w:rPr>
          <w:b/>
          <w:sz w:val="20"/>
          <w:szCs w:val="20"/>
        </w:rPr>
        <w:t>dört</w:t>
      </w:r>
      <w:r w:rsidR="00987DD8">
        <w:rPr>
          <w:b/>
          <w:sz w:val="20"/>
          <w:szCs w:val="20"/>
        </w:rPr>
        <w:t xml:space="preserve"> </w:t>
      </w:r>
      <w:r w:rsidR="00DB71B2" w:rsidRPr="00F4786B">
        <w:rPr>
          <w:b/>
          <w:sz w:val="20"/>
          <w:szCs w:val="20"/>
        </w:rPr>
        <w:t xml:space="preserve">ayında </w:t>
      </w:r>
      <w:r w:rsidR="00E15BC5" w:rsidRPr="00F4786B">
        <w:rPr>
          <w:b/>
          <w:sz w:val="20"/>
          <w:szCs w:val="20"/>
        </w:rPr>
        <w:t>201</w:t>
      </w:r>
      <w:r w:rsidR="00830777" w:rsidRPr="00F4786B">
        <w:rPr>
          <w:b/>
          <w:sz w:val="20"/>
          <w:szCs w:val="20"/>
        </w:rPr>
        <w:t>7</w:t>
      </w:r>
      <w:r w:rsidR="00E15BC5" w:rsidRPr="00F4786B">
        <w:rPr>
          <w:b/>
          <w:sz w:val="20"/>
          <w:szCs w:val="20"/>
        </w:rPr>
        <w:t xml:space="preserve"> yılı</w:t>
      </w:r>
      <w:r w:rsidR="00C9673A" w:rsidRPr="00F4786B">
        <w:rPr>
          <w:b/>
          <w:sz w:val="20"/>
          <w:szCs w:val="20"/>
        </w:rPr>
        <w:t>nın</w:t>
      </w:r>
      <w:r w:rsidR="00FF29ED" w:rsidRPr="00F4786B">
        <w:rPr>
          <w:b/>
          <w:sz w:val="20"/>
          <w:szCs w:val="20"/>
        </w:rPr>
        <w:t xml:space="preserve"> </w:t>
      </w:r>
      <w:r w:rsidR="00513C97" w:rsidRPr="00F4786B">
        <w:rPr>
          <w:b/>
          <w:sz w:val="20"/>
          <w:szCs w:val="20"/>
        </w:rPr>
        <w:t xml:space="preserve">aynı </w:t>
      </w:r>
      <w:r w:rsidR="00FF29ED" w:rsidRPr="00F4786B">
        <w:rPr>
          <w:b/>
          <w:sz w:val="20"/>
          <w:szCs w:val="20"/>
        </w:rPr>
        <w:t>ay</w:t>
      </w:r>
      <w:r w:rsidR="00513C97" w:rsidRPr="00F4786B">
        <w:rPr>
          <w:b/>
          <w:sz w:val="20"/>
          <w:szCs w:val="20"/>
        </w:rPr>
        <w:t>ları</w:t>
      </w:r>
      <w:r w:rsidR="00FF29ED" w:rsidRPr="00F4786B">
        <w:rPr>
          <w:b/>
          <w:sz w:val="20"/>
          <w:szCs w:val="20"/>
        </w:rPr>
        <w:t>na</w:t>
      </w:r>
      <w:r w:rsidR="00E15BC5" w:rsidRPr="00F4786B">
        <w:rPr>
          <w:b/>
          <w:sz w:val="20"/>
          <w:szCs w:val="20"/>
        </w:rPr>
        <w:t xml:space="preserve"> göre ihracat </w:t>
      </w:r>
      <w:r w:rsidR="00FF29ED" w:rsidRPr="00F4786B">
        <w:rPr>
          <w:b/>
          <w:sz w:val="20"/>
          <w:szCs w:val="20"/>
        </w:rPr>
        <w:t xml:space="preserve">% </w:t>
      </w:r>
      <w:r w:rsidR="00971273">
        <w:rPr>
          <w:b/>
          <w:sz w:val="20"/>
          <w:szCs w:val="20"/>
        </w:rPr>
        <w:t>8.6</w:t>
      </w:r>
      <w:r w:rsidR="00512B70">
        <w:rPr>
          <w:b/>
          <w:sz w:val="20"/>
          <w:szCs w:val="20"/>
        </w:rPr>
        <w:t>,</w:t>
      </w:r>
      <w:r w:rsidR="00971273">
        <w:rPr>
          <w:b/>
          <w:sz w:val="20"/>
          <w:szCs w:val="20"/>
        </w:rPr>
        <w:t xml:space="preserve"> </w:t>
      </w:r>
      <w:r w:rsidR="00E15BC5" w:rsidRPr="00F4786B">
        <w:rPr>
          <w:b/>
          <w:sz w:val="20"/>
          <w:szCs w:val="20"/>
        </w:rPr>
        <w:t xml:space="preserve">ithalat </w:t>
      </w:r>
      <w:r w:rsidR="00FF29ED" w:rsidRPr="00F4786B">
        <w:rPr>
          <w:b/>
          <w:sz w:val="20"/>
          <w:szCs w:val="20"/>
        </w:rPr>
        <w:t xml:space="preserve">ise </w:t>
      </w:r>
      <w:r w:rsidR="00920B4F" w:rsidRPr="00F4786B">
        <w:rPr>
          <w:b/>
          <w:sz w:val="20"/>
          <w:szCs w:val="20"/>
        </w:rPr>
        <w:t xml:space="preserve"> </w:t>
      </w:r>
      <w:r w:rsidR="00FF29ED" w:rsidRPr="00F4786B">
        <w:rPr>
          <w:b/>
          <w:sz w:val="20"/>
          <w:szCs w:val="20"/>
        </w:rPr>
        <w:t xml:space="preserve">% </w:t>
      </w:r>
      <w:r w:rsidR="00971273">
        <w:rPr>
          <w:b/>
          <w:sz w:val="20"/>
          <w:szCs w:val="20"/>
        </w:rPr>
        <w:t xml:space="preserve">20.8 </w:t>
      </w:r>
      <w:r w:rsidR="00B1149B" w:rsidRPr="00F4786B">
        <w:rPr>
          <w:b/>
          <w:sz w:val="20"/>
          <w:szCs w:val="20"/>
        </w:rPr>
        <w:t>artmıştır.</w:t>
      </w:r>
      <w:r w:rsidR="00096FA2">
        <w:rPr>
          <w:sz w:val="20"/>
          <w:szCs w:val="20"/>
        </w:rPr>
        <w:t xml:space="preserve"> Bunu </w:t>
      </w:r>
      <w:r w:rsidR="00F86B0B">
        <w:rPr>
          <w:sz w:val="20"/>
          <w:szCs w:val="20"/>
        </w:rPr>
        <w:t>2018 yılı</w:t>
      </w:r>
      <w:r w:rsidR="00510A78">
        <w:rPr>
          <w:sz w:val="20"/>
          <w:szCs w:val="20"/>
        </w:rPr>
        <w:t>nın</w:t>
      </w:r>
      <w:r w:rsidR="00F86B0B">
        <w:rPr>
          <w:sz w:val="20"/>
          <w:szCs w:val="20"/>
        </w:rPr>
        <w:t xml:space="preserve"> </w:t>
      </w:r>
      <w:r w:rsidR="00510A78">
        <w:rPr>
          <w:sz w:val="20"/>
          <w:szCs w:val="20"/>
        </w:rPr>
        <w:t xml:space="preserve">ilk </w:t>
      </w:r>
      <w:r w:rsidR="00971273">
        <w:rPr>
          <w:sz w:val="20"/>
          <w:szCs w:val="20"/>
        </w:rPr>
        <w:t xml:space="preserve">dört </w:t>
      </w:r>
      <w:r w:rsidR="006A5194">
        <w:rPr>
          <w:sz w:val="20"/>
          <w:szCs w:val="20"/>
        </w:rPr>
        <w:t xml:space="preserve">ayında </w:t>
      </w:r>
      <w:r w:rsidR="005B23CE" w:rsidRPr="00AE772D">
        <w:rPr>
          <w:sz w:val="20"/>
          <w:szCs w:val="20"/>
        </w:rPr>
        <w:t>2017 yılı</w:t>
      </w:r>
      <w:r w:rsidR="00691ACE" w:rsidRPr="00AE772D">
        <w:rPr>
          <w:sz w:val="20"/>
          <w:szCs w:val="20"/>
        </w:rPr>
        <w:t xml:space="preserve">nın ilk </w:t>
      </w:r>
      <w:r w:rsidR="00971273" w:rsidRPr="00AE772D">
        <w:rPr>
          <w:sz w:val="20"/>
          <w:szCs w:val="20"/>
        </w:rPr>
        <w:t>dört</w:t>
      </w:r>
      <w:r w:rsidR="005B23CE" w:rsidRPr="00AE772D">
        <w:rPr>
          <w:sz w:val="20"/>
          <w:szCs w:val="20"/>
        </w:rPr>
        <w:t xml:space="preserve"> </w:t>
      </w:r>
      <w:r w:rsidR="00096FA2" w:rsidRPr="00AE772D">
        <w:rPr>
          <w:sz w:val="20"/>
          <w:szCs w:val="20"/>
        </w:rPr>
        <w:t>ayına göre</w:t>
      </w:r>
      <w:r w:rsidR="00AE772D">
        <w:rPr>
          <w:sz w:val="20"/>
          <w:szCs w:val="20"/>
        </w:rPr>
        <w:t>”</w:t>
      </w:r>
      <w:r w:rsidR="00096FA2" w:rsidRPr="00096FA2">
        <w:rPr>
          <w:b/>
          <w:sz w:val="20"/>
          <w:szCs w:val="20"/>
        </w:rPr>
        <w:t xml:space="preserve"> ihracatta artış</w:t>
      </w:r>
      <w:r w:rsidR="00096FA2">
        <w:rPr>
          <w:b/>
          <w:sz w:val="20"/>
          <w:szCs w:val="20"/>
        </w:rPr>
        <w:t>,</w:t>
      </w:r>
      <w:r w:rsidR="00096FA2" w:rsidRPr="00096FA2">
        <w:rPr>
          <w:b/>
          <w:sz w:val="20"/>
          <w:szCs w:val="20"/>
        </w:rPr>
        <w:t xml:space="preserve"> ithalatta ise patlama düzeyinde yükselme vardır”</w:t>
      </w:r>
      <w:r w:rsidR="00096FA2">
        <w:rPr>
          <w:sz w:val="20"/>
          <w:szCs w:val="20"/>
        </w:rPr>
        <w:t xml:space="preserve"> diye ifade edebiliriz.</w:t>
      </w:r>
      <w:r w:rsidR="00F610A3">
        <w:rPr>
          <w:sz w:val="20"/>
          <w:szCs w:val="20"/>
        </w:rPr>
        <w:t xml:space="preserve"> D</w:t>
      </w:r>
      <w:r w:rsidRPr="004D3231">
        <w:rPr>
          <w:sz w:val="20"/>
          <w:szCs w:val="20"/>
        </w:rPr>
        <w:t>ış ticaret açığı ve cari aç</w:t>
      </w:r>
      <w:r w:rsidR="00096FA2">
        <w:rPr>
          <w:sz w:val="20"/>
          <w:szCs w:val="20"/>
        </w:rPr>
        <w:t>ık</w:t>
      </w:r>
      <w:r w:rsidRPr="004D3231">
        <w:rPr>
          <w:sz w:val="20"/>
          <w:szCs w:val="20"/>
        </w:rPr>
        <w:t xml:space="preserve"> </w:t>
      </w:r>
      <w:r w:rsidR="00914A99" w:rsidRPr="004D3231">
        <w:rPr>
          <w:sz w:val="20"/>
          <w:szCs w:val="20"/>
        </w:rPr>
        <w:t xml:space="preserve">ise </w:t>
      </w:r>
      <w:r w:rsidR="00FC41E2">
        <w:rPr>
          <w:sz w:val="20"/>
          <w:szCs w:val="20"/>
        </w:rPr>
        <w:t xml:space="preserve">yıllardan beri </w:t>
      </w:r>
      <w:r w:rsidR="00914A99" w:rsidRPr="004D3231">
        <w:rPr>
          <w:sz w:val="20"/>
          <w:szCs w:val="20"/>
        </w:rPr>
        <w:t>yüksek seyrini sürdürmektedir.</w:t>
      </w:r>
      <w:r w:rsidRPr="004D3231">
        <w:rPr>
          <w:sz w:val="20"/>
          <w:szCs w:val="20"/>
        </w:rPr>
        <w:t xml:space="preserve"> Türkiye’nin 2002 ile 201</w:t>
      </w:r>
      <w:r w:rsidR="00896671">
        <w:rPr>
          <w:sz w:val="20"/>
          <w:szCs w:val="20"/>
        </w:rPr>
        <w:t>6</w:t>
      </w:r>
      <w:r w:rsidRPr="004D3231">
        <w:rPr>
          <w:sz w:val="20"/>
          <w:szCs w:val="20"/>
        </w:rPr>
        <w:t xml:space="preserve"> </w:t>
      </w:r>
      <w:r w:rsidR="00E15BC5">
        <w:rPr>
          <w:sz w:val="20"/>
          <w:szCs w:val="20"/>
        </w:rPr>
        <w:t xml:space="preserve">ve 2017 </w:t>
      </w:r>
      <w:r w:rsidRPr="004D3231">
        <w:rPr>
          <w:sz w:val="20"/>
          <w:szCs w:val="20"/>
        </w:rPr>
        <w:t>yıllarındaki dış ticaret durumu</w:t>
      </w:r>
      <w:r w:rsidR="00C237F3">
        <w:rPr>
          <w:sz w:val="20"/>
          <w:szCs w:val="20"/>
        </w:rPr>
        <w:t xml:space="preserve">yla cari açık durumu </w:t>
      </w:r>
      <w:r w:rsidR="00096FA2">
        <w:rPr>
          <w:sz w:val="20"/>
          <w:szCs w:val="20"/>
        </w:rPr>
        <w:t>ve</w:t>
      </w:r>
      <w:r w:rsidR="00C237F3">
        <w:rPr>
          <w:sz w:val="20"/>
          <w:szCs w:val="20"/>
        </w:rPr>
        <w:t xml:space="preserve"> </w:t>
      </w:r>
      <w:r w:rsidR="00F50B1B">
        <w:rPr>
          <w:sz w:val="20"/>
          <w:szCs w:val="20"/>
        </w:rPr>
        <w:t>201</w:t>
      </w:r>
      <w:r w:rsidR="00ED1977">
        <w:rPr>
          <w:sz w:val="20"/>
          <w:szCs w:val="20"/>
        </w:rPr>
        <w:t>8</w:t>
      </w:r>
      <w:r w:rsidR="00F50B1B">
        <w:rPr>
          <w:sz w:val="20"/>
          <w:szCs w:val="20"/>
        </w:rPr>
        <w:t xml:space="preserve"> yılının ilk </w:t>
      </w:r>
      <w:r w:rsidR="004E47D9">
        <w:rPr>
          <w:sz w:val="20"/>
          <w:szCs w:val="20"/>
        </w:rPr>
        <w:t>dört</w:t>
      </w:r>
      <w:r w:rsidR="00691ACE">
        <w:rPr>
          <w:sz w:val="20"/>
          <w:szCs w:val="20"/>
        </w:rPr>
        <w:t xml:space="preserve"> </w:t>
      </w:r>
      <w:r w:rsidR="00F50B1B">
        <w:rPr>
          <w:sz w:val="20"/>
          <w:szCs w:val="20"/>
        </w:rPr>
        <w:t xml:space="preserve">ayındaki </w:t>
      </w:r>
      <w:r w:rsidR="00691ACE">
        <w:rPr>
          <w:sz w:val="20"/>
          <w:szCs w:val="20"/>
        </w:rPr>
        <w:t>( Ocak-</w:t>
      </w:r>
      <w:r w:rsidR="00971273">
        <w:rPr>
          <w:sz w:val="20"/>
          <w:szCs w:val="20"/>
        </w:rPr>
        <w:t>Nisan</w:t>
      </w:r>
      <w:r w:rsidR="00691ACE">
        <w:rPr>
          <w:sz w:val="20"/>
          <w:szCs w:val="20"/>
        </w:rPr>
        <w:t xml:space="preserve">) </w:t>
      </w:r>
      <w:r w:rsidR="00830777">
        <w:rPr>
          <w:sz w:val="20"/>
          <w:szCs w:val="20"/>
        </w:rPr>
        <w:t xml:space="preserve">dış ticaret </w:t>
      </w:r>
      <w:r w:rsidRPr="004D3231">
        <w:rPr>
          <w:sz w:val="20"/>
          <w:szCs w:val="20"/>
        </w:rPr>
        <w:t xml:space="preserve">rakamları </w:t>
      </w:r>
      <w:r w:rsidR="00513C97">
        <w:rPr>
          <w:sz w:val="20"/>
          <w:szCs w:val="20"/>
        </w:rPr>
        <w:t xml:space="preserve">ile </w:t>
      </w:r>
      <w:r w:rsidR="00691ACE">
        <w:rPr>
          <w:sz w:val="20"/>
          <w:szCs w:val="20"/>
        </w:rPr>
        <w:t xml:space="preserve">ilk </w:t>
      </w:r>
      <w:r w:rsidR="004E47D9">
        <w:rPr>
          <w:sz w:val="20"/>
          <w:szCs w:val="20"/>
        </w:rPr>
        <w:t xml:space="preserve">üç </w:t>
      </w:r>
      <w:r w:rsidR="00691ACE">
        <w:rPr>
          <w:sz w:val="20"/>
          <w:szCs w:val="20"/>
        </w:rPr>
        <w:t>ayındaki (Ocak-</w:t>
      </w:r>
      <w:r w:rsidR="004E47D9">
        <w:rPr>
          <w:sz w:val="20"/>
          <w:szCs w:val="20"/>
        </w:rPr>
        <w:t>Mart</w:t>
      </w:r>
      <w:r w:rsidR="00691ACE">
        <w:rPr>
          <w:sz w:val="20"/>
          <w:szCs w:val="20"/>
        </w:rPr>
        <w:t>)</w:t>
      </w:r>
      <w:r w:rsidR="00513C97">
        <w:rPr>
          <w:sz w:val="20"/>
          <w:szCs w:val="20"/>
        </w:rPr>
        <w:t xml:space="preserve"> cari açık durumu </w:t>
      </w:r>
      <w:r w:rsidRPr="004D3231">
        <w:rPr>
          <w:sz w:val="20"/>
          <w:szCs w:val="20"/>
        </w:rPr>
        <w:t>şöyledir</w:t>
      </w:r>
      <w:r w:rsidR="009A439A">
        <w:rPr>
          <w:sz w:val="20"/>
          <w:szCs w:val="20"/>
        </w:rPr>
        <w:t>:</w:t>
      </w:r>
    </w:p>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2"/>
        <w:gridCol w:w="2068"/>
        <w:gridCol w:w="1939"/>
        <w:gridCol w:w="1766"/>
        <w:gridCol w:w="1900"/>
      </w:tblGrid>
      <w:tr w:rsidR="003242FB" w:rsidRPr="004D3231" w:rsidTr="00495583">
        <w:trPr>
          <w:trHeight w:val="699"/>
        </w:trPr>
        <w:tc>
          <w:tcPr>
            <w:tcW w:w="2072" w:type="dxa"/>
          </w:tcPr>
          <w:p w:rsidR="003242FB" w:rsidRPr="00BA4A9E" w:rsidRDefault="003242FB" w:rsidP="00415DE6">
            <w:pPr>
              <w:jc w:val="center"/>
              <w:rPr>
                <w:rFonts w:ascii="Arial" w:hAnsi="Arial" w:cs="Arial"/>
                <w:b/>
                <w:sz w:val="18"/>
                <w:szCs w:val="18"/>
              </w:rPr>
            </w:pPr>
          </w:p>
          <w:p w:rsidR="003242FB" w:rsidRPr="00BA4A9E" w:rsidRDefault="003242FB" w:rsidP="00415DE6">
            <w:pPr>
              <w:jc w:val="center"/>
              <w:rPr>
                <w:rFonts w:ascii="Arial" w:hAnsi="Arial" w:cs="Arial"/>
                <w:b/>
                <w:sz w:val="18"/>
                <w:szCs w:val="18"/>
              </w:rPr>
            </w:pPr>
            <w:r w:rsidRPr="00BA4A9E">
              <w:rPr>
                <w:rFonts w:ascii="Arial" w:hAnsi="Arial" w:cs="Arial"/>
                <w:b/>
                <w:sz w:val="18"/>
                <w:szCs w:val="18"/>
              </w:rPr>
              <w:t>Yıl</w:t>
            </w:r>
          </w:p>
        </w:tc>
        <w:tc>
          <w:tcPr>
            <w:tcW w:w="2068" w:type="dxa"/>
          </w:tcPr>
          <w:p w:rsidR="003242FB" w:rsidRPr="00BA4A9E" w:rsidRDefault="003242FB" w:rsidP="00415DE6">
            <w:pPr>
              <w:jc w:val="center"/>
              <w:rPr>
                <w:rFonts w:ascii="Arial" w:hAnsi="Arial" w:cs="Arial"/>
                <w:b/>
                <w:sz w:val="18"/>
                <w:szCs w:val="18"/>
              </w:rPr>
            </w:pPr>
          </w:p>
          <w:p w:rsidR="003242FB" w:rsidRPr="00BA4A9E" w:rsidRDefault="003242FB" w:rsidP="00415DE6">
            <w:pPr>
              <w:jc w:val="center"/>
              <w:rPr>
                <w:rFonts w:ascii="Arial" w:hAnsi="Arial" w:cs="Arial"/>
                <w:b/>
                <w:sz w:val="18"/>
                <w:szCs w:val="18"/>
              </w:rPr>
            </w:pPr>
            <w:r w:rsidRPr="00BA4A9E">
              <w:rPr>
                <w:rFonts w:ascii="Arial" w:hAnsi="Arial" w:cs="Arial"/>
                <w:b/>
                <w:sz w:val="18"/>
                <w:szCs w:val="18"/>
              </w:rPr>
              <w:t xml:space="preserve">İhracat </w:t>
            </w:r>
          </w:p>
          <w:p w:rsidR="003242FB" w:rsidRPr="00BA4A9E" w:rsidRDefault="003242FB" w:rsidP="00415DE6">
            <w:pPr>
              <w:jc w:val="center"/>
              <w:rPr>
                <w:rFonts w:ascii="Arial" w:hAnsi="Arial" w:cs="Arial"/>
                <w:b/>
                <w:sz w:val="18"/>
                <w:szCs w:val="18"/>
              </w:rPr>
            </w:pPr>
            <w:r w:rsidRPr="00BA4A9E">
              <w:rPr>
                <w:rFonts w:ascii="Arial" w:hAnsi="Arial" w:cs="Arial"/>
                <w:b/>
                <w:sz w:val="18"/>
                <w:szCs w:val="18"/>
              </w:rPr>
              <w:t xml:space="preserve"> (Milyar Dolar)</w:t>
            </w:r>
          </w:p>
        </w:tc>
        <w:tc>
          <w:tcPr>
            <w:tcW w:w="1939" w:type="dxa"/>
          </w:tcPr>
          <w:p w:rsidR="003242FB" w:rsidRPr="00BA4A9E" w:rsidRDefault="003242FB" w:rsidP="00415DE6">
            <w:pPr>
              <w:jc w:val="center"/>
              <w:rPr>
                <w:rFonts w:ascii="Arial" w:hAnsi="Arial" w:cs="Arial"/>
                <w:b/>
                <w:sz w:val="18"/>
                <w:szCs w:val="18"/>
              </w:rPr>
            </w:pPr>
          </w:p>
          <w:p w:rsidR="003242FB" w:rsidRPr="00BA4A9E" w:rsidRDefault="003242FB" w:rsidP="00415DE6">
            <w:pPr>
              <w:jc w:val="center"/>
              <w:rPr>
                <w:rFonts w:ascii="Arial" w:hAnsi="Arial" w:cs="Arial"/>
                <w:b/>
                <w:sz w:val="18"/>
                <w:szCs w:val="18"/>
              </w:rPr>
            </w:pPr>
            <w:r w:rsidRPr="00BA4A9E">
              <w:rPr>
                <w:rFonts w:ascii="Arial" w:hAnsi="Arial" w:cs="Arial"/>
                <w:b/>
                <w:sz w:val="18"/>
                <w:szCs w:val="18"/>
              </w:rPr>
              <w:t>İthalat</w:t>
            </w:r>
          </w:p>
          <w:p w:rsidR="003242FB" w:rsidRPr="00BA4A9E" w:rsidRDefault="003242FB" w:rsidP="00415DE6">
            <w:pPr>
              <w:jc w:val="center"/>
              <w:rPr>
                <w:rFonts w:ascii="Arial" w:hAnsi="Arial" w:cs="Arial"/>
                <w:b/>
                <w:sz w:val="18"/>
                <w:szCs w:val="18"/>
              </w:rPr>
            </w:pPr>
            <w:r w:rsidRPr="00BA4A9E">
              <w:rPr>
                <w:rFonts w:ascii="Arial" w:hAnsi="Arial" w:cs="Arial"/>
                <w:b/>
                <w:sz w:val="18"/>
                <w:szCs w:val="18"/>
              </w:rPr>
              <w:t xml:space="preserve"> (Milyar Dolar)</w:t>
            </w:r>
          </w:p>
          <w:p w:rsidR="003242FB" w:rsidRPr="00BA4A9E" w:rsidRDefault="003242FB" w:rsidP="00415DE6">
            <w:pPr>
              <w:jc w:val="center"/>
              <w:rPr>
                <w:rFonts w:ascii="Arial" w:hAnsi="Arial" w:cs="Arial"/>
                <w:b/>
                <w:sz w:val="18"/>
                <w:szCs w:val="18"/>
              </w:rPr>
            </w:pPr>
          </w:p>
        </w:tc>
        <w:tc>
          <w:tcPr>
            <w:tcW w:w="1766" w:type="dxa"/>
          </w:tcPr>
          <w:p w:rsidR="003242FB" w:rsidRPr="00BA4A9E" w:rsidRDefault="003242FB" w:rsidP="00415DE6">
            <w:pPr>
              <w:jc w:val="center"/>
              <w:rPr>
                <w:rFonts w:ascii="Arial" w:hAnsi="Arial" w:cs="Arial"/>
                <w:b/>
                <w:sz w:val="18"/>
                <w:szCs w:val="18"/>
              </w:rPr>
            </w:pPr>
          </w:p>
          <w:p w:rsidR="003242FB" w:rsidRPr="00BA4A9E" w:rsidRDefault="003242FB" w:rsidP="00415DE6">
            <w:pPr>
              <w:jc w:val="center"/>
              <w:rPr>
                <w:rFonts w:ascii="Arial" w:hAnsi="Arial" w:cs="Arial"/>
                <w:b/>
                <w:sz w:val="18"/>
                <w:szCs w:val="18"/>
              </w:rPr>
            </w:pPr>
            <w:r w:rsidRPr="00BA4A9E">
              <w:rPr>
                <w:rFonts w:ascii="Arial" w:hAnsi="Arial" w:cs="Arial"/>
                <w:b/>
                <w:sz w:val="18"/>
                <w:szCs w:val="18"/>
              </w:rPr>
              <w:t>Dış Ticaret Açığı</w:t>
            </w:r>
          </w:p>
          <w:p w:rsidR="003242FB" w:rsidRPr="00BA4A9E" w:rsidRDefault="003242FB" w:rsidP="00415DE6">
            <w:pPr>
              <w:jc w:val="center"/>
              <w:rPr>
                <w:rFonts w:ascii="Arial" w:hAnsi="Arial" w:cs="Arial"/>
                <w:b/>
                <w:sz w:val="18"/>
                <w:szCs w:val="18"/>
              </w:rPr>
            </w:pPr>
            <w:r w:rsidRPr="00BA4A9E">
              <w:rPr>
                <w:rFonts w:ascii="Arial" w:hAnsi="Arial" w:cs="Arial"/>
                <w:b/>
                <w:sz w:val="18"/>
                <w:szCs w:val="18"/>
              </w:rPr>
              <w:t>(Milyar Dolar)</w:t>
            </w:r>
          </w:p>
        </w:tc>
        <w:tc>
          <w:tcPr>
            <w:tcW w:w="1900" w:type="dxa"/>
          </w:tcPr>
          <w:p w:rsidR="003242FB" w:rsidRPr="00BA4A9E" w:rsidRDefault="003242FB" w:rsidP="00415DE6">
            <w:pPr>
              <w:jc w:val="center"/>
              <w:rPr>
                <w:rFonts w:ascii="Arial" w:hAnsi="Arial" w:cs="Arial"/>
                <w:b/>
                <w:sz w:val="18"/>
                <w:szCs w:val="18"/>
              </w:rPr>
            </w:pPr>
          </w:p>
          <w:p w:rsidR="003242FB" w:rsidRPr="00BA4A9E" w:rsidRDefault="003242FB" w:rsidP="00415DE6">
            <w:pPr>
              <w:jc w:val="center"/>
              <w:rPr>
                <w:rFonts w:ascii="Arial" w:hAnsi="Arial" w:cs="Arial"/>
                <w:b/>
                <w:sz w:val="18"/>
                <w:szCs w:val="18"/>
              </w:rPr>
            </w:pPr>
            <w:r w:rsidRPr="00BA4A9E">
              <w:rPr>
                <w:rFonts w:ascii="Arial" w:hAnsi="Arial" w:cs="Arial"/>
                <w:b/>
                <w:sz w:val="18"/>
                <w:szCs w:val="18"/>
              </w:rPr>
              <w:t>Cari Açık</w:t>
            </w:r>
          </w:p>
          <w:p w:rsidR="003242FB" w:rsidRPr="00BA4A9E" w:rsidRDefault="003242FB" w:rsidP="00415DE6">
            <w:pPr>
              <w:jc w:val="center"/>
              <w:rPr>
                <w:rFonts w:ascii="Arial" w:hAnsi="Arial" w:cs="Arial"/>
                <w:b/>
                <w:sz w:val="18"/>
                <w:szCs w:val="18"/>
              </w:rPr>
            </w:pPr>
            <w:r w:rsidRPr="00BA4A9E">
              <w:rPr>
                <w:rFonts w:ascii="Arial" w:hAnsi="Arial" w:cs="Arial"/>
                <w:b/>
                <w:sz w:val="18"/>
                <w:szCs w:val="18"/>
              </w:rPr>
              <w:t xml:space="preserve"> (Milyar Dolar)</w:t>
            </w:r>
          </w:p>
        </w:tc>
      </w:tr>
      <w:tr w:rsidR="003242FB" w:rsidRPr="00B30F71" w:rsidTr="00495583">
        <w:trPr>
          <w:trHeight w:val="377"/>
        </w:trPr>
        <w:tc>
          <w:tcPr>
            <w:tcW w:w="2072" w:type="dxa"/>
            <w:vAlign w:val="bottom"/>
          </w:tcPr>
          <w:p w:rsidR="003242FB" w:rsidRPr="004F40A1" w:rsidRDefault="003242FB" w:rsidP="00415DE6">
            <w:pPr>
              <w:jc w:val="center"/>
              <w:rPr>
                <w:rFonts w:ascii="Arial" w:hAnsi="Arial" w:cs="Arial"/>
                <w:b/>
                <w:sz w:val="18"/>
                <w:szCs w:val="18"/>
              </w:rPr>
            </w:pPr>
            <w:r w:rsidRPr="004F40A1">
              <w:rPr>
                <w:rFonts w:ascii="Arial" w:hAnsi="Arial" w:cs="Arial"/>
                <w:b/>
                <w:sz w:val="18"/>
                <w:szCs w:val="18"/>
              </w:rPr>
              <w:t>2002</w:t>
            </w:r>
          </w:p>
        </w:tc>
        <w:tc>
          <w:tcPr>
            <w:tcW w:w="2068" w:type="dxa"/>
            <w:vAlign w:val="center"/>
          </w:tcPr>
          <w:p w:rsidR="003242FB" w:rsidRPr="00B30F71" w:rsidRDefault="00C21962" w:rsidP="00495583">
            <w:pPr>
              <w:jc w:val="center"/>
              <w:rPr>
                <w:rFonts w:ascii="Arial" w:hAnsi="Arial" w:cs="Arial"/>
                <w:sz w:val="18"/>
                <w:szCs w:val="18"/>
              </w:rPr>
            </w:pPr>
            <w:r>
              <w:rPr>
                <w:rFonts w:ascii="Arial" w:hAnsi="Arial" w:cs="Arial"/>
                <w:sz w:val="18"/>
                <w:szCs w:val="18"/>
              </w:rPr>
              <w:t xml:space="preserve">  </w:t>
            </w:r>
            <w:r w:rsidR="003242FB" w:rsidRPr="00B30F71">
              <w:rPr>
                <w:rFonts w:ascii="Arial" w:hAnsi="Arial" w:cs="Arial"/>
                <w:sz w:val="18"/>
                <w:szCs w:val="18"/>
              </w:rPr>
              <w:t>36.1</w:t>
            </w:r>
          </w:p>
        </w:tc>
        <w:tc>
          <w:tcPr>
            <w:tcW w:w="1939" w:type="dxa"/>
            <w:vAlign w:val="center"/>
          </w:tcPr>
          <w:p w:rsidR="003242FB" w:rsidRPr="00B30F71" w:rsidRDefault="00C21962" w:rsidP="00495583">
            <w:pPr>
              <w:jc w:val="center"/>
              <w:rPr>
                <w:rFonts w:ascii="Arial" w:hAnsi="Arial" w:cs="Arial"/>
                <w:sz w:val="18"/>
                <w:szCs w:val="18"/>
              </w:rPr>
            </w:pPr>
            <w:r>
              <w:rPr>
                <w:rFonts w:ascii="Arial" w:hAnsi="Arial" w:cs="Arial"/>
                <w:sz w:val="18"/>
                <w:szCs w:val="18"/>
              </w:rPr>
              <w:t xml:space="preserve">   </w:t>
            </w:r>
            <w:r w:rsidR="003242FB" w:rsidRPr="00B30F71">
              <w:rPr>
                <w:rFonts w:ascii="Arial" w:hAnsi="Arial" w:cs="Arial"/>
                <w:sz w:val="18"/>
                <w:szCs w:val="18"/>
              </w:rPr>
              <w:t>51.6</w:t>
            </w:r>
          </w:p>
        </w:tc>
        <w:tc>
          <w:tcPr>
            <w:tcW w:w="1766" w:type="dxa"/>
            <w:vAlign w:val="center"/>
          </w:tcPr>
          <w:p w:rsidR="00B30F71" w:rsidRPr="00B30F71" w:rsidRDefault="00B30F71" w:rsidP="00495583">
            <w:pPr>
              <w:jc w:val="center"/>
              <w:rPr>
                <w:rFonts w:ascii="Arial" w:hAnsi="Arial" w:cs="Arial"/>
                <w:sz w:val="18"/>
                <w:szCs w:val="18"/>
              </w:rPr>
            </w:pPr>
          </w:p>
          <w:p w:rsidR="003242FB" w:rsidRPr="00B30F71" w:rsidRDefault="00C9673A" w:rsidP="00495583">
            <w:pPr>
              <w:jc w:val="center"/>
              <w:rPr>
                <w:rFonts w:ascii="Arial" w:hAnsi="Arial" w:cs="Arial"/>
                <w:sz w:val="18"/>
                <w:szCs w:val="18"/>
              </w:rPr>
            </w:pPr>
            <w:r>
              <w:rPr>
                <w:rFonts w:ascii="Arial" w:hAnsi="Arial" w:cs="Arial"/>
                <w:sz w:val="18"/>
                <w:szCs w:val="18"/>
              </w:rPr>
              <w:t xml:space="preserve"> </w:t>
            </w:r>
            <w:r w:rsidR="003242FB" w:rsidRPr="00B30F71">
              <w:rPr>
                <w:rFonts w:ascii="Arial" w:hAnsi="Arial" w:cs="Arial"/>
                <w:sz w:val="18"/>
                <w:szCs w:val="18"/>
              </w:rPr>
              <w:t>-15.5</w:t>
            </w:r>
          </w:p>
        </w:tc>
        <w:tc>
          <w:tcPr>
            <w:tcW w:w="1900" w:type="dxa"/>
            <w:vAlign w:val="center"/>
          </w:tcPr>
          <w:p w:rsidR="003242FB" w:rsidRPr="00B30F71" w:rsidRDefault="001F42A8" w:rsidP="00377D8E">
            <w:pPr>
              <w:jc w:val="center"/>
              <w:rPr>
                <w:rFonts w:ascii="Arial" w:hAnsi="Arial" w:cs="Arial"/>
                <w:sz w:val="18"/>
                <w:szCs w:val="18"/>
              </w:rPr>
            </w:pPr>
            <w:r>
              <w:rPr>
                <w:rFonts w:ascii="Arial" w:hAnsi="Arial" w:cs="Arial"/>
                <w:sz w:val="18"/>
                <w:szCs w:val="18"/>
              </w:rPr>
              <w:t xml:space="preserve">   </w:t>
            </w:r>
            <w:r w:rsidR="00C9673A">
              <w:rPr>
                <w:rFonts w:ascii="Arial" w:hAnsi="Arial" w:cs="Arial"/>
                <w:sz w:val="18"/>
                <w:szCs w:val="18"/>
              </w:rPr>
              <w:t xml:space="preserve"> </w:t>
            </w:r>
            <w:r>
              <w:rPr>
                <w:rFonts w:ascii="Arial" w:hAnsi="Arial" w:cs="Arial"/>
                <w:sz w:val="18"/>
                <w:szCs w:val="18"/>
              </w:rPr>
              <w:t xml:space="preserve">  </w:t>
            </w:r>
            <w:r w:rsidR="00C9673A">
              <w:rPr>
                <w:rFonts w:ascii="Arial" w:hAnsi="Arial" w:cs="Arial"/>
                <w:sz w:val="18"/>
                <w:szCs w:val="18"/>
              </w:rPr>
              <w:t xml:space="preserve">  </w:t>
            </w:r>
            <w:r>
              <w:rPr>
                <w:rFonts w:ascii="Arial" w:hAnsi="Arial" w:cs="Arial"/>
                <w:sz w:val="18"/>
                <w:szCs w:val="18"/>
              </w:rPr>
              <w:t xml:space="preserve">  </w:t>
            </w:r>
            <w:r w:rsidR="00270CD2">
              <w:rPr>
                <w:rFonts w:ascii="Arial" w:hAnsi="Arial" w:cs="Arial"/>
                <w:sz w:val="18"/>
                <w:szCs w:val="18"/>
              </w:rPr>
              <w:t xml:space="preserve">    </w:t>
            </w:r>
            <w:r w:rsidR="00EE7AD8">
              <w:rPr>
                <w:rFonts w:ascii="Arial" w:hAnsi="Arial" w:cs="Arial"/>
                <w:sz w:val="18"/>
                <w:szCs w:val="18"/>
              </w:rPr>
              <w:t xml:space="preserve"> </w:t>
            </w:r>
            <w:r w:rsidR="00270CD2">
              <w:rPr>
                <w:rFonts w:ascii="Arial" w:hAnsi="Arial" w:cs="Arial"/>
                <w:sz w:val="18"/>
                <w:szCs w:val="18"/>
              </w:rPr>
              <w:t xml:space="preserve"> </w:t>
            </w:r>
            <w:r>
              <w:rPr>
                <w:rFonts w:ascii="Arial" w:hAnsi="Arial" w:cs="Arial"/>
                <w:sz w:val="18"/>
                <w:szCs w:val="18"/>
              </w:rPr>
              <w:t xml:space="preserve"> </w:t>
            </w:r>
            <w:r w:rsidR="00377D8E">
              <w:rPr>
                <w:rFonts w:ascii="Arial" w:hAnsi="Arial" w:cs="Arial"/>
                <w:sz w:val="18"/>
                <w:szCs w:val="18"/>
              </w:rPr>
              <w:t xml:space="preserve">  </w:t>
            </w:r>
            <w:r w:rsidR="00495583">
              <w:rPr>
                <w:rFonts w:ascii="Arial" w:hAnsi="Arial" w:cs="Arial"/>
                <w:sz w:val="18"/>
                <w:szCs w:val="18"/>
              </w:rPr>
              <w:t xml:space="preserve"> </w:t>
            </w:r>
            <w:r w:rsidR="003242FB" w:rsidRPr="00B30F71">
              <w:rPr>
                <w:rFonts w:ascii="Arial" w:hAnsi="Arial" w:cs="Arial"/>
                <w:sz w:val="18"/>
                <w:szCs w:val="18"/>
              </w:rPr>
              <w:t>-0.6</w:t>
            </w:r>
          </w:p>
        </w:tc>
      </w:tr>
      <w:tr w:rsidR="003242FB" w:rsidRPr="00B30F71" w:rsidTr="00495583">
        <w:trPr>
          <w:trHeight w:val="262"/>
        </w:trPr>
        <w:tc>
          <w:tcPr>
            <w:tcW w:w="2072" w:type="dxa"/>
            <w:vAlign w:val="bottom"/>
          </w:tcPr>
          <w:p w:rsidR="003242FB" w:rsidRPr="004F40A1" w:rsidRDefault="003242FB" w:rsidP="002B37D8">
            <w:pPr>
              <w:jc w:val="center"/>
              <w:rPr>
                <w:rFonts w:ascii="Arial" w:hAnsi="Arial" w:cs="Arial"/>
                <w:b/>
                <w:sz w:val="18"/>
                <w:szCs w:val="18"/>
              </w:rPr>
            </w:pPr>
            <w:r w:rsidRPr="004F40A1">
              <w:rPr>
                <w:rFonts w:ascii="Arial" w:hAnsi="Arial" w:cs="Arial"/>
                <w:b/>
                <w:sz w:val="18"/>
                <w:szCs w:val="18"/>
              </w:rPr>
              <w:t>201</w:t>
            </w:r>
            <w:r w:rsidR="002B37D8" w:rsidRPr="004F40A1">
              <w:rPr>
                <w:rFonts w:ascii="Arial" w:hAnsi="Arial" w:cs="Arial"/>
                <w:b/>
                <w:sz w:val="18"/>
                <w:szCs w:val="18"/>
              </w:rPr>
              <w:t>6</w:t>
            </w:r>
          </w:p>
        </w:tc>
        <w:tc>
          <w:tcPr>
            <w:tcW w:w="2068" w:type="dxa"/>
            <w:vAlign w:val="center"/>
          </w:tcPr>
          <w:p w:rsidR="003242FB" w:rsidRPr="00B30F71" w:rsidRDefault="003242FB" w:rsidP="00495583">
            <w:pPr>
              <w:jc w:val="center"/>
              <w:rPr>
                <w:rFonts w:ascii="Arial" w:hAnsi="Arial" w:cs="Arial"/>
                <w:sz w:val="18"/>
                <w:szCs w:val="18"/>
              </w:rPr>
            </w:pPr>
            <w:r w:rsidRPr="00B30F71">
              <w:rPr>
                <w:rFonts w:ascii="Arial" w:hAnsi="Arial" w:cs="Arial"/>
                <w:sz w:val="18"/>
                <w:szCs w:val="18"/>
              </w:rPr>
              <w:t>14</w:t>
            </w:r>
            <w:r w:rsidR="002B37D8">
              <w:rPr>
                <w:rFonts w:ascii="Arial" w:hAnsi="Arial" w:cs="Arial"/>
                <w:sz w:val="18"/>
                <w:szCs w:val="18"/>
              </w:rPr>
              <w:t>2</w:t>
            </w:r>
            <w:r w:rsidRPr="00B30F71">
              <w:rPr>
                <w:rFonts w:ascii="Arial" w:hAnsi="Arial" w:cs="Arial"/>
                <w:sz w:val="18"/>
                <w:szCs w:val="18"/>
              </w:rPr>
              <w:t>.</w:t>
            </w:r>
            <w:r w:rsidR="006901A5">
              <w:rPr>
                <w:rFonts w:ascii="Arial" w:hAnsi="Arial" w:cs="Arial"/>
                <w:sz w:val="18"/>
                <w:szCs w:val="18"/>
              </w:rPr>
              <w:t>5</w:t>
            </w:r>
          </w:p>
        </w:tc>
        <w:tc>
          <w:tcPr>
            <w:tcW w:w="1939" w:type="dxa"/>
            <w:vAlign w:val="center"/>
          </w:tcPr>
          <w:p w:rsidR="003242FB" w:rsidRPr="00B30F71" w:rsidRDefault="002B37D8" w:rsidP="00495583">
            <w:pPr>
              <w:jc w:val="center"/>
              <w:rPr>
                <w:rFonts w:ascii="Arial" w:hAnsi="Arial" w:cs="Arial"/>
                <w:sz w:val="18"/>
                <w:szCs w:val="18"/>
              </w:rPr>
            </w:pPr>
            <w:r>
              <w:rPr>
                <w:rFonts w:ascii="Arial" w:hAnsi="Arial" w:cs="Arial"/>
                <w:sz w:val="18"/>
                <w:szCs w:val="18"/>
              </w:rPr>
              <w:t>198.6</w:t>
            </w:r>
          </w:p>
        </w:tc>
        <w:tc>
          <w:tcPr>
            <w:tcW w:w="1766" w:type="dxa"/>
            <w:vAlign w:val="center"/>
          </w:tcPr>
          <w:p w:rsidR="00B30F71" w:rsidRPr="00B30F71" w:rsidRDefault="00B30F71" w:rsidP="00495583">
            <w:pPr>
              <w:jc w:val="center"/>
              <w:rPr>
                <w:rFonts w:ascii="Arial" w:hAnsi="Arial" w:cs="Arial"/>
                <w:sz w:val="18"/>
                <w:szCs w:val="18"/>
              </w:rPr>
            </w:pPr>
          </w:p>
          <w:p w:rsidR="003242FB" w:rsidRPr="00B30F71" w:rsidRDefault="00C9673A" w:rsidP="00495583">
            <w:pPr>
              <w:jc w:val="center"/>
              <w:rPr>
                <w:rFonts w:ascii="Arial" w:hAnsi="Arial" w:cs="Arial"/>
                <w:sz w:val="18"/>
                <w:szCs w:val="18"/>
              </w:rPr>
            </w:pPr>
            <w:r>
              <w:rPr>
                <w:rFonts w:ascii="Arial" w:hAnsi="Arial" w:cs="Arial"/>
                <w:sz w:val="18"/>
                <w:szCs w:val="18"/>
              </w:rPr>
              <w:t xml:space="preserve"> </w:t>
            </w:r>
            <w:r w:rsidR="003242FB" w:rsidRPr="00B30F71">
              <w:rPr>
                <w:rFonts w:ascii="Arial" w:hAnsi="Arial" w:cs="Arial"/>
                <w:sz w:val="18"/>
                <w:szCs w:val="18"/>
              </w:rPr>
              <w:t>-</w:t>
            </w:r>
            <w:r w:rsidR="002B37D8">
              <w:rPr>
                <w:rFonts w:ascii="Arial" w:hAnsi="Arial" w:cs="Arial"/>
                <w:sz w:val="18"/>
                <w:szCs w:val="18"/>
              </w:rPr>
              <w:t>56</w:t>
            </w:r>
            <w:r w:rsidR="00A40C8F">
              <w:rPr>
                <w:rFonts w:ascii="Arial" w:hAnsi="Arial" w:cs="Arial"/>
                <w:sz w:val="18"/>
                <w:szCs w:val="18"/>
              </w:rPr>
              <w:t>.</w:t>
            </w:r>
            <w:r w:rsidR="006901A5">
              <w:rPr>
                <w:rFonts w:ascii="Arial" w:hAnsi="Arial" w:cs="Arial"/>
                <w:sz w:val="18"/>
                <w:szCs w:val="18"/>
              </w:rPr>
              <w:t>1</w:t>
            </w:r>
          </w:p>
        </w:tc>
        <w:tc>
          <w:tcPr>
            <w:tcW w:w="1900" w:type="dxa"/>
            <w:vAlign w:val="center"/>
          </w:tcPr>
          <w:p w:rsidR="003242FB" w:rsidRPr="00B30F71" w:rsidRDefault="00C9673A" w:rsidP="00377D8E">
            <w:pPr>
              <w:jc w:val="center"/>
              <w:rPr>
                <w:rFonts w:ascii="Arial" w:hAnsi="Arial" w:cs="Arial"/>
                <w:sz w:val="18"/>
                <w:szCs w:val="18"/>
              </w:rPr>
            </w:pPr>
            <w:r>
              <w:rPr>
                <w:rFonts w:ascii="Arial" w:hAnsi="Arial" w:cs="Arial"/>
                <w:sz w:val="18"/>
                <w:szCs w:val="18"/>
              </w:rPr>
              <w:t xml:space="preserve">   </w:t>
            </w:r>
            <w:r w:rsidR="001F42A8">
              <w:rPr>
                <w:rFonts w:ascii="Arial" w:hAnsi="Arial" w:cs="Arial"/>
                <w:sz w:val="18"/>
                <w:szCs w:val="18"/>
              </w:rPr>
              <w:t xml:space="preserve">     </w:t>
            </w:r>
            <w:r w:rsidR="00270CD2">
              <w:rPr>
                <w:rFonts w:ascii="Arial" w:hAnsi="Arial" w:cs="Arial"/>
                <w:sz w:val="18"/>
                <w:szCs w:val="18"/>
              </w:rPr>
              <w:t xml:space="preserve">      </w:t>
            </w:r>
            <w:r w:rsidR="001F42A8">
              <w:rPr>
                <w:rFonts w:ascii="Arial" w:hAnsi="Arial" w:cs="Arial"/>
                <w:sz w:val="18"/>
                <w:szCs w:val="18"/>
              </w:rPr>
              <w:t xml:space="preserve">   </w:t>
            </w:r>
            <w:r w:rsidR="003242FB" w:rsidRPr="00B30F71">
              <w:rPr>
                <w:rFonts w:ascii="Arial" w:hAnsi="Arial" w:cs="Arial"/>
                <w:sz w:val="18"/>
                <w:szCs w:val="18"/>
              </w:rPr>
              <w:t>-3</w:t>
            </w:r>
            <w:r w:rsidR="00830777">
              <w:rPr>
                <w:rFonts w:ascii="Arial" w:hAnsi="Arial" w:cs="Arial"/>
                <w:sz w:val="18"/>
                <w:szCs w:val="18"/>
              </w:rPr>
              <w:t>3.1</w:t>
            </w:r>
          </w:p>
        </w:tc>
      </w:tr>
      <w:tr w:rsidR="006901A5" w:rsidRPr="000862DC" w:rsidTr="00495583">
        <w:trPr>
          <w:trHeight w:val="425"/>
        </w:trPr>
        <w:tc>
          <w:tcPr>
            <w:tcW w:w="2072" w:type="dxa"/>
            <w:vAlign w:val="bottom"/>
          </w:tcPr>
          <w:p w:rsidR="004F40A1" w:rsidRPr="004F40A1" w:rsidRDefault="004F40A1" w:rsidP="00555786">
            <w:pPr>
              <w:jc w:val="center"/>
              <w:rPr>
                <w:rFonts w:ascii="Arial" w:hAnsi="Arial" w:cs="Arial"/>
                <w:b/>
                <w:sz w:val="16"/>
                <w:szCs w:val="16"/>
              </w:rPr>
            </w:pPr>
          </w:p>
          <w:p w:rsidR="00555786" w:rsidRPr="00BC53DF" w:rsidRDefault="00825084" w:rsidP="00593D55">
            <w:pPr>
              <w:jc w:val="center"/>
              <w:rPr>
                <w:rFonts w:ascii="Arial" w:hAnsi="Arial" w:cs="Arial"/>
                <w:b/>
                <w:sz w:val="18"/>
                <w:szCs w:val="18"/>
              </w:rPr>
            </w:pPr>
            <w:r w:rsidRPr="00BC53DF">
              <w:rPr>
                <w:rFonts w:ascii="Arial" w:hAnsi="Arial" w:cs="Arial"/>
                <w:b/>
                <w:sz w:val="18"/>
                <w:szCs w:val="18"/>
              </w:rPr>
              <w:t>2017</w:t>
            </w:r>
          </w:p>
        </w:tc>
        <w:tc>
          <w:tcPr>
            <w:tcW w:w="2068" w:type="dxa"/>
            <w:vAlign w:val="center"/>
          </w:tcPr>
          <w:p w:rsidR="006901A5" w:rsidRPr="00B30F71" w:rsidRDefault="00593D55" w:rsidP="005B23CE">
            <w:pPr>
              <w:jc w:val="center"/>
              <w:rPr>
                <w:rFonts w:ascii="Arial" w:hAnsi="Arial" w:cs="Arial"/>
                <w:sz w:val="18"/>
                <w:szCs w:val="18"/>
              </w:rPr>
            </w:pPr>
            <w:r>
              <w:rPr>
                <w:rFonts w:ascii="Arial" w:hAnsi="Arial" w:cs="Arial"/>
                <w:sz w:val="18"/>
                <w:szCs w:val="18"/>
              </w:rPr>
              <w:t>157.</w:t>
            </w:r>
            <w:r w:rsidR="005B23CE">
              <w:rPr>
                <w:rFonts w:ascii="Arial" w:hAnsi="Arial" w:cs="Arial"/>
                <w:sz w:val="18"/>
                <w:szCs w:val="18"/>
              </w:rPr>
              <w:t>0</w:t>
            </w:r>
          </w:p>
        </w:tc>
        <w:tc>
          <w:tcPr>
            <w:tcW w:w="1939" w:type="dxa"/>
            <w:vAlign w:val="center"/>
          </w:tcPr>
          <w:p w:rsidR="006901A5" w:rsidRPr="00B30F71" w:rsidRDefault="00EF26F7" w:rsidP="00495583">
            <w:pPr>
              <w:jc w:val="center"/>
              <w:rPr>
                <w:rFonts w:ascii="Arial" w:hAnsi="Arial" w:cs="Arial"/>
                <w:sz w:val="18"/>
                <w:szCs w:val="18"/>
              </w:rPr>
            </w:pPr>
            <w:r>
              <w:rPr>
                <w:rFonts w:ascii="Arial" w:hAnsi="Arial" w:cs="Arial"/>
                <w:sz w:val="18"/>
                <w:szCs w:val="18"/>
              </w:rPr>
              <w:t>233.8</w:t>
            </w:r>
          </w:p>
        </w:tc>
        <w:tc>
          <w:tcPr>
            <w:tcW w:w="1766" w:type="dxa"/>
            <w:vAlign w:val="center"/>
          </w:tcPr>
          <w:p w:rsidR="00825084" w:rsidRPr="00B30F71" w:rsidRDefault="00C9673A" w:rsidP="005B23CE">
            <w:pPr>
              <w:jc w:val="center"/>
              <w:rPr>
                <w:rFonts w:ascii="Arial" w:hAnsi="Arial" w:cs="Arial"/>
                <w:sz w:val="18"/>
                <w:szCs w:val="18"/>
              </w:rPr>
            </w:pPr>
            <w:r>
              <w:rPr>
                <w:rFonts w:ascii="Arial" w:hAnsi="Arial" w:cs="Arial"/>
                <w:sz w:val="18"/>
                <w:szCs w:val="18"/>
              </w:rPr>
              <w:t xml:space="preserve"> </w:t>
            </w:r>
            <w:r w:rsidR="00825084">
              <w:rPr>
                <w:rFonts w:ascii="Arial" w:hAnsi="Arial" w:cs="Arial"/>
                <w:sz w:val="18"/>
                <w:szCs w:val="18"/>
              </w:rPr>
              <w:t>-</w:t>
            </w:r>
            <w:r w:rsidR="00EF26F7">
              <w:rPr>
                <w:rFonts w:ascii="Arial" w:hAnsi="Arial" w:cs="Arial"/>
                <w:sz w:val="18"/>
                <w:szCs w:val="18"/>
              </w:rPr>
              <w:t>76.</w:t>
            </w:r>
            <w:r w:rsidR="005B23CE">
              <w:rPr>
                <w:rFonts w:ascii="Arial" w:hAnsi="Arial" w:cs="Arial"/>
                <w:sz w:val="18"/>
                <w:szCs w:val="18"/>
              </w:rPr>
              <w:t>8</w:t>
            </w:r>
          </w:p>
        </w:tc>
        <w:tc>
          <w:tcPr>
            <w:tcW w:w="1900" w:type="dxa"/>
            <w:vAlign w:val="center"/>
          </w:tcPr>
          <w:p w:rsidR="006901A5" w:rsidRPr="000862DC" w:rsidRDefault="001F42A8" w:rsidP="00C9673A">
            <w:pPr>
              <w:tabs>
                <w:tab w:val="left" w:pos="0"/>
              </w:tabs>
              <w:jc w:val="center"/>
              <w:rPr>
                <w:rFonts w:ascii="Arial" w:hAnsi="Arial" w:cs="Arial"/>
                <w:sz w:val="14"/>
                <w:szCs w:val="14"/>
              </w:rPr>
            </w:pPr>
            <w:r>
              <w:rPr>
                <w:rFonts w:ascii="Arial" w:hAnsi="Arial" w:cs="Arial"/>
                <w:sz w:val="18"/>
                <w:szCs w:val="18"/>
              </w:rPr>
              <w:t xml:space="preserve">      </w:t>
            </w:r>
            <w:r w:rsidR="00C9673A">
              <w:rPr>
                <w:rFonts w:ascii="Arial" w:hAnsi="Arial" w:cs="Arial"/>
                <w:sz w:val="18"/>
                <w:szCs w:val="18"/>
              </w:rPr>
              <w:t xml:space="preserve">  </w:t>
            </w:r>
            <w:r>
              <w:rPr>
                <w:rFonts w:ascii="Arial" w:hAnsi="Arial" w:cs="Arial"/>
                <w:sz w:val="18"/>
                <w:szCs w:val="18"/>
              </w:rPr>
              <w:t xml:space="preserve"> </w:t>
            </w:r>
            <w:r w:rsidR="00C9673A">
              <w:rPr>
                <w:rFonts w:ascii="Arial" w:hAnsi="Arial" w:cs="Arial"/>
                <w:sz w:val="18"/>
                <w:szCs w:val="18"/>
              </w:rPr>
              <w:t xml:space="preserve"> </w:t>
            </w:r>
            <w:r w:rsidR="00270CD2">
              <w:rPr>
                <w:rFonts w:ascii="Arial" w:hAnsi="Arial" w:cs="Arial"/>
                <w:sz w:val="18"/>
                <w:szCs w:val="18"/>
              </w:rPr>
              <w:t xml:space="preserve">      </w:t>
            </w:r>
            <w:r>
              <w:rPr>
                <w:rFonts w:ascii="Arial" w:hAnsi="Arial" w:cs="Arial"/>
                <w:sz w:val="18"/>
                <w:szCs w:val="18"/>
              </w:rPr>
              <w:t xml:space="preserve"> </w:t>
            </w:r>
            <w:r w:rsidR="000862DC" w:rsidRPr="000862DC">
              <w:rPr>
                <w:rFonts w:ascii="Arial" w:hAnsi="Arial" w:cs="Arial"/>
                <w:sz w:val="18"/>
                <w:szCs w:val="18"/>
              </w:rPr>
              <w:t>-</w:t>
            </w:r>
            <w:r w:rsidR="00830777">
              <w:rPr>
                <w:rFonts w:ascii="Arial" w:hAnsi="Arial" w:cs="Arial"/>
                <w:sz w:val="18"/>
                <w:szCs w:val="18"/>
              </w:rPr>
              <w:t>47.1</w:t>
            </w:r>
          </w:p>
        </w:tc>
      </w:tr>
      <w:tr w:rsidR="00377D8E" w:rsidRPr="000862DC" w:rsidTr="00495583">
        <w:trPr>
          <w:trHeight w:val="425"/>
        </w:trPr>
        <w:tc>
          <w:tcPr>
            <w:tcW w:w="2072" w:type="dxa"/>
            <w:vAlign w:val="bottom"/>
          </w:tcPr>
          <w:p w:rsidR="00377D8E" w:rsidRPr="004F40A1" w:rsidRDefault="00377D8E" w:rsidP="004E47D9">
            <w:pPr>
              <w:jc w:val="center"/>
              <w:rPr>
                <w:rFonts w:ascii="Arial" w:hAnsi="Arial" w:cs="Arial"/>
                <w:b/>
                <w:sz w:val="16"/>
                <w:szCs w:val="16"/>
              </w:rPr>
            </w:pPr>
            <w:r>
              <w:rPr>
                <w:rFonts w:ascii="Arial" w:hAnsi="Arial" w:cs="Arial"/>
                <w:b/>
                <w:sz w:val="16"/>
                <w:szCs w:val="16"/>
              </w:rPr>
              <w:t>2018 (Ocak</w:t>
            </w:r>
            <w:r w:rsidR="001F42A8">
              <w:rPr>
                <w:rFonts w:ascii="Arial" w:hAnsi="Arial" w:cs="Arial"/>
                <w:b/>
                <w:sz w:val="16"/>
                <w:szCs w:val="16"/>
              </w:rPr>
              <w:t>-</w:t>
            </w:r>
            <w:r w:rsidR="004E47D9">
              <w:rPr>
                <w:rFonts w:ascii="Arial" w:hAnsi="Arial" w:cs="Arial"/>
                <w:b/>
                <w:sz w:val="16"/>
                <w:szCs w:val="16"/>
              </w:rPr>
              <w:t>Nisan</w:t>
            </w:r>
            <w:r>
              <w:rPr>
                <w:rFonts w:ascii="Arial" w:hAnsi="Arial" w:cs="Arial"/>
                <w:b/>
                <w:sz w:val="16"/>
                <w:szCs w:val="16"/>
              </w:rPr>
              <w:t>)</w:t>
            </w:r>
          </w:p>
        </w:tc>
        <w:tc>
          <w:tcPr>
            <w:tcW w:w="2068" w:type="dxa"/>
            <w:vAlign w:val="center"/>
          </w:tcPr>
          <w:p w:rsidR="00377D8E" w:rsidRDefault="00424B3B" w:rsidP="00270CD2">
            <w:pPr>
              <w:jc w:val="center"/>
              <w:rPr>
                <w:rFonts w:ascii="Arial" w:hAnsi="Arial" w:cs="Arial"/>
                <w:sz w:val="18"/>
                <w:szCs w:val="18"/>
              </w:rPr>
            </w:pPr>
            <w:r>
              <w:rPr>
                <w:rFonts w:ascii="Arial" w:hAnsi="Arial" w:cs="Arial"/>
                <w:sz w:val="18"/>
                <w:szCs w:val="18"/>
              </w:rPr>
              <w:t xml:space="preserve">  55.0</w:t>
            </w:r>
          </w:p>
        </w:tc>
        <w:tc>
          <w:tcPr>
            <w:tcW w:w="1939" w:type="dxa"/>
            <w:vAlign w:val="center"/>
          </w:tcPr>
          <w:p w:rsidR="00377D8E" w:rsidRDefault="00424B3B" w:rsidP="00270CD2">
            <w:pPr>
              <w:jc w:val="center"/>
              <w:rPr>
                <w:rFonts w:ascii="Arial" w:hAnsi="Arial" w:cs="Arial"/>
                <w:sz w:val="18"/>
                <w:szCs w:val="18"/>
              </w:rPr>
            </w:pPr>
            <w:r>
              <w:rPr>
                <w:rFonts w:ascii="Arial" w:hAnsi="Arial" w:cs="Arial"/>
                <w:sz w:val="18"/>
                <w:szCs w:val="18"/>
              </w:rPr>
              <w:t xml:space="preserve">  82.4</w:t>
            </w:r>
          </w:p>
        </w:tc>
        <w:tc>
          <w:tcPr>
            <w:tcW w:w="1766" w:type="dxa"/>
            <w:vAlign w:val="center"/>
          </w:tcPr>
          <w:p w:rsidR="00377D8E" w:rsidRDefault="00424B3B" w:rsidP="00270CD2">
            <w:pPr>
              <w:jc w:val="center"/>
              <w:rPr>
                <w:rFonts w:ascii="Arial" w:hAnsi="Arial" w:cs="Arial"/>
                <w:sz w:val="18"/>
                <w:szCs w:val="18"/>
              </w:rPr>
            </w:pPr>
            <w:r>
              <w:rPr>
                <w:rFonts w:ascii="Arial" w:hAnsi="Arial" w:cs="Arial"/>
                <w:sz w:val="18"/>
                <w:szCs w:val="18"/>
              </w:rPr>
              <w:t>-27.4</w:t>
            </w:r>
          </w:p>
        </w:tc>
        <w:tc>
          <w:tcPr>
            <w:tcW w:w="1900" w:type="dxa"/>
            <w:vAlign w:val="center"/>
          </w:tcPr>
          <w:p w:rsidR="00377D8E" w:rsidRPr="000862DC" w:rsidRDefault="001F42A8" w:rsidP="00787F0B">
            <w:pPr>
              <w:tabs>
                <w:tab w:val="left" w:pos="0"/>
                <w:tab w:val="left" w:pos="150"/>
              </w:tabs>
              <w:jc w:val="center"/>
              <w:rPr>
                <w:rFonts w:ascii="Arial" w:hAnsi="Arial" w:cs="Arial"/>
                <w:sz w:val="18"/>
                <w:szCs w:val="18"/>
              </w:rPr>
            </w:pPr>
            <w:r>
              <w:rPr>
                <w:rFonts w:ascii="Arial" w:hAnsi="Arial" w:cs="Arial"/>
                <w:sz w:val="18"/>
                <w:szCs w:val="18"/>
              </w:rPr>
              <w:t>(</w:t>
            </w:r>
            <w:r w:rsidRPr="00270CD2">
              <w:rPr>
                <w:rFonts w:ascii="Arial" w:hAnsi="Arial" w:cs="Arial"/>
                <w:sz w:val="14"/>
                <w:szCs w:val="14"/>
              </w:rPr>
              <w:t>Ocak</w:t>
            </w:r>
            <w:r w:rsidR="00270CD2">
              <w:rPr>
                <w:rFonts w:ascii="Arial" w:hAnsi="Arial" w:cs="Arial"/>
                <w:sz w:val="14"/>
                <w:szCs w:val="14"/>
              </w:rPr>
              <w:t>-</w:t>
            </w:r>
            <w:r w:rsidR="00787F0B">
              <w:rPr>
                <w:rFonts w:ascii="Arial" w:hAnsi="Arial" w:cs="Arial"/>
                <w:sz w:val="14"/>
                <w:szCs w:val="14"/>
              </w:rPr>
              <w:t>Mart</w:t>
            </w:r>
            <w:r w:rsidR="00270CD2">
              <w:rPr>
                <w:rFonts w:ascii="Arial" w:hAnsi="Arial" w:cs="Arial"/>
                <w:sz w:val="14"/>
                <w:szCs w:val="14"/>
              </w:rPr>
              <w:t>)  -</w:t>
            </w:r>
            <w:r w:rsidR="00270CD2" w:rsidRPr="00270CD2">
              <w:rPr>
                <w:rFonts w:ascii="Arial" w:hAnsi="Arial" w:cs="Arial"/>
                <w:sz w:val="18"/>
                <w:szCs w:val="18"/>
              </w:rPr>
              <w:t>1</w:t>
            </w:r>
            <w:r w:rsidR="00787F0B">
              <w:rPr>
                <w:rFonts w:ascii="Arial" w:hAnsi="Arial" w:cs="Arial"/>
                <w:sz w:val="18"/>
                <w:szCs w:val="18"/>
              </w:rPr>
              <w:t>6</w:t>
            </w:r>
            <w:r w:rsidR="00270CD2" w:rsidRPr="00270CD2">
              <w:rPr>
                <w:rFonts w:ascii="Arial" w:hAnsi="Arial" w:cs="Arial"/>
                <w:sz w:val="18"/>
                <w:szCs w:val="18"/>
              </w:rPr>
              <w:t>.</w:t>
            </w:r>
            <w:r w:rsidR="00787F0B">
              <w:rPr>
                <w:rFonts w:ascii="Arial" w:hAnsi="Arial" w:cs="Arial"/>
                <w:sz w:val="18"/>
                <w:szCs w:val="18"/>
              </w:rPr>
              <w:t>4</w:t>
            </w:r>
            <w:r w:rsidR="00270CD2">
              <w:rPr>
                <w:rFonts w:ascii="Arial" w:hAnsi="Arial" w:cs="Arial"/>
                <w:sz w:val="14"/>
                <w:szCs w:val="14"/>
              </w:rPr>
              <w:t xml:space="preserve">         </w:t>
            </w:r>
          </w:p>
        </w:tc>
      </w:tr>
    </w:tbl>
    <w:p w:rsidR="003242FB" w:rsidRPr="00B30F71" w:rsidRDefault="003242FB" w:rsidP="003242FB">
      <w:pPr>
        <w:pStyle w:val="ListeParagraf"/>
        <w:spacing w:line="360" w:lineRule="auto"/>
        <w:ind w:left="0" w:firstLine="708"/>
        <w:jc w:val="both"/>
        <w:rPr>
          <w:b/>
          <w:sz w:val="18"/>
          <w:szCs w:val="18"/>
        </w:rPr>
      </w:pPr>
    </w:p>
    <w:p w:rsidR="00661920" w:rsidRPr="008E42D9" w:rsidRDefault="00661920" w:rsidP="00661920">
      <w:pPr>
        <w:pStyle w:val="ListeParagraf"/>
        <w:spacing w:line="360" w:lineRule="auto"/>
        <w:ind w:left="0" w:firstLine="708"/>
        <w:jc w:val="both"/>
        <w:rPr>
          <w:b/>
          <w:sz w:val="20"/>
          <w:szCs w:val="20"/>
        </w:rPr>
      </w:pPr>
      <w:r>
        <w:rPr>
          <w:b/>
          <w:sz w:val="20"/>
          <w:szCs w:val="20"/>
        </w:rPr>
        <w:t>G</w:t>
      </w:r>
      <w:r w:rsidRPr="004D3231">
        <w:rPr>
          <w:b/>
          <w:sz w:val="20"/>
          <w:szCs w:val="20"/>
        </w:rPr>
        <w:t>erek 2002’de</w:t>
      </w:r>
      <w:r w:rsidR="005A2F6B">
        <w:rPr>
          <w:b/>
          <w:sz w:val="20"/>
          <w:szCs w:val="20"/>
        </w:rPr>
        <w:t>,</w:t>
      </w:r>
      <w:r w:rsidRPr="004D3231">
        <w:rPr>
          <w:b/>
          <w:sz w:val="20"/>
          <w:szCs w:val="20"/>
        </w:rPr>
        <w:t xml:space="preserve"> </w:t>
      </w:r>
      <w:r w:rsidR="00BC53DF">
        <w:rPr>
          <w:b/>
          <w:sz w:val="20"/>
          <w:szCs w:val="20"/>
        </w:rPr>
        <w:t>gerek</w:t>
      </w:r>
      <w:r w:rsidRPr="004D3231">
        <w:rPr>
          <w:b/>
          <w:sz w:val="20"/>
          <w:szCs w:val="20"/>
        </w:rPr>
        <w:t xml:space="preserve"> 201</w:t>
      </w:r>
      <w:r>
        <w:rPr>
          <w:b/>
          <w:sz w:val="20"/>
          <w:szCs w:val="20"/>
        </w:rPr>
        <w:t>6</w:t>
      </w:r>
      <w:r w:rsidRPr="004D3231">
        <w:rPr>
          <w:b/>
          <w:sz w:val="20"/>
          <w:szCs w:val="20"/>
        </w:rPr>
        <w:t>’d</w:t>
      </w:r>
      <w:r>
        <w:rPr>
          <w:b/>
          <w:sz w:val="20"/>
          <w:szCs w:val="20"/>
        </w:rPr>
        <w:t>a</w:t>
      </w:r>
      <w:r w:rsidR="00BC53DF">
        <w:rPr>
          <w:b/>
          <w:sz w:val="20"/>
          <w:szCs w:val="20"/>
        </w:rPr>
        <w:t xml:space="preserve"> ve gerekse 2017’de</w:t>
      </w:r>
      <w:r w:rsidRPr="004D3231">
        <w:rPr>
          <w:b/>
          <w:sz w:val="20"/>
          <w:szCs w:val="20"/>
        </w:rPr>
        <w:t xml:space="preserve"> ithalat ihracattan fazladır ve her </w:t>
      </w:r>
      <w:r w:rsidR="00BC53DF">
        <w:rPr>
          <w:b/>
          <w:sz w:val="20"/>
          <w:szCs w:val="20"/>
        </w:rPr>
        <w:t>üç</w:t>
      </w:r>
      <w:r w:rsidRPr="004D3231">
        <w:rPr>
          <w:b/>
          <w:sz w:val="20"/>
          <w:szCs w:val="20"/>
        </w:rPr>
        <w:t xml:space="preserve"> yılda da dış ticaret açığı vardır.  </w:t>
      </w:r>
      <w:r w:rsidRPr="00D26953">
        <w:rPr>
          <w:sz w:val="20"/>
          <w:szCs w:val="20"/>
        </w:rPr>
        <w:t>Bu durum, bu tarih</w:t>
      </w:r>
      <w:r w:rsidR="00BC53DF">
        <w:rPr>
          <w:sz w:val="20"/>
          <w:szCs w:val="20"/>
        </w:rPr>
        <w:t>ler (2002-201</w:t>
      </w:r>
      <w:r w:rsidR="004E47D9">
        <w:rPr>
          <w:sz w:val="20"/>
          <w:szCs w:val="20"/>
        </w:rPr>
        <w:t>7</w:t>
      </w:r>
      <w:r w:rsidR="00BC53DF">
        <w:rPr>
          <w:sz w:val="20"/>
          <w:szCs w:val="20"/>
        </w:rPr>
        <w:t>)</w:t>
      </w:r>
      <w:r w:rsidRPr="00D26953">
        <w:rPr>
          <w:sz w:val="20"/>
          <w:szCs w:val="20"/>
        </w:rPr>
        <w:t xml:space="preserve"> arasındaki diğer yıllar için de söz konusudur. </w:t>
      </w:r>
      <w:r>
        <w:rPr>
          <w:sz w:val="20"/>
          <w:szCs w:val="20"/>
        </w:rPr>
        <w:t>2016 yılında 56.1 milyar dolar dış ticaret açığı vardır. 2017 yılın</w:t>
      </w:r>
      <w:r w:rsidR="00BC53DF">
        <w:rPr>
          <w:sz w:val="20"/>
          <w:szCs w:val="20"/>
        </w:rPr>
        <w:t>da</w:t>
      </w:r>
      <w:r>
        <w:rPr>
          <w:sz w:val="20"/>
          <w:szCs w:val="20"/>
        </w:rPr>
        <w:t xml:space="preserve"> </w:t>
      </w:r>
      <w:r w:rsidR="00BC53DF">
        <w:rPr>
          <w:sz w:val="20"/>
          <w:szCs w:val="20"/>
        </w:rPr>
        <w:t>ise</w:t>
      </w:r>
      <w:r w:rsidR="00B1149B">
        <w:rPr>
          <w:sz w:val="20"/>
          <w:szCs w:val="20"/>
        </w:rPr>
        <w:t xml:space="preserve"> </w:t>
      </w:r>
      <w:r w:rsidR="00BC53DF">
        <w:rPr>
          <w:sz w:val="20"/>
          <w:szCs w:val="20"/>
        </w:rPr>
        <w:t>76.</w:t>
      </w:r>
      <w:r w:rsidR="005B23CE">
        <w:rPr>
          <w:sz w:val="20"/>
          <w:szCs w:val="20"/>
        </w:rPr>
        <w:t>8</w:t>
      </w:r>
      <w:r w:rsidR="008E6F64">
        <w:rPr>
          <w:sz w:val="20"/>
          <w:szCs w:val="20"/>
        </w:rPr>
        <w:t xml:space="preserve"> </w:t>
      </w:r>
      <w:r>
        <w:rPr>
          <w:sz w:val="20"/>
          <w:szCs w:val="20"/>
        </w:rPr>
        <w:t xml:space="preserve">milyar dolarlık dış ticaret açığı vardır ve bu miktar, 2016 yılının dış ticaret açığından </w:t>
      </w:r>
      <w:r w:rsidR="00BC53DF">
        <w:rPr>
          <w:sz w:val="20"/>
          <w:szCs w:val="20"/>
        </w:rPr>
        <w:t>20</w:t>
      </w:r>
      <w:r w:rsidR="00EF26F7">
        <w:rPr>
          <w:sz w:val="20"/>
          <w:szCs w:val="20"/>
        </w:rPr>
        <w:t>.</w:t>
      </w:r>
      <w:r w:rsidR="005B23CE">
        <w:rPr>
          <w:sz w:val="20"/>
          <w:szCs w:val="20"/>
        </w:rPr>
        <w:t>7</w:t>
      </w:r>
      <w:r w:rsidR="00EF26F7">
        <w:rPr>
          <w:sz w:val="20"/>
          <w:szCs w:val="20"/>
        </w:rPr>
        <w:t xml:space="preserve"> (</w:t>
      </w:r>
      <w:r w:rsidR="00BC53DF">
        <w:rPr>
          <w:sz w:val="20"/>
          <w:szCs w:val="20"/>
        </w:rPr>
        <w:t>76</w:t>
      </w:r>
      <w:r w:rsidR="00EF26F7">
        <w:rPr>
          <w:sz w:val="20"/>
          <w:szCs w:val="20"/>
        </w:rPr>
        <w:t>.</w:t>
      </w:r>
      <w:r w:rsidR="005B23CE">
        <w:rPr>
          <w:sz w:val="20"/>
          <w:szCs w:val="20"/>
        </w:rPr>
        <w:t>8</w:t>
      </w:r>
      <w:r w:rsidR="00EF26F7">
        <w:rPr>
          <w:sz w:val="20"/>
          <w:szCs w:val="20"/>
        </w:rPr>
        <w:t xml:space="preserve"> </w:t>
      </w:r>
      <w:r w:rsidR="00BC53DF">
        <w:rPr>
          <w:sz w:val="20"/>
          <w:szCs w:val="20"/>
        </w:rPr>
        <w:t>-</w:t>
      </w:r>
      <w:r w:rsidR="00EF26F7">
        <w:rPr>
          <w:sz w:val="20"/>
          <w:szCs w:val="20"/>
        </w:rPr>
        <w:t xml:space="preserve"> </w:t>
      </w:r>
      <w:r w:rsidR="00BC53DF">
        <w:rPr>
          <w:sz w:val="20"/>
          <w:szCs w:val="20"/>
        </w:rPr>
        <w:t>56.1</w:t>
      </w:r>
      <w:r w:rsidR="005B23CE">
        <w:rPr>
          <w:sz w:val="20"/>
          <w:szCs w:val="20"/>
        </w:rPr>
        <w:t xml:space="preserve"> </w:t>
      </w:r>
      <w:r w:rsidR="00BC53DF">
        <w:rPr>
          <w:sz w:val="20"/>
          <w:szCs w:val="20"/>
        </w:rPr>
        <w:t>=</w:t>
      </w:r>
      <w:r w:rsidR="005B23CE">
        <w:rPr>
          <w:sz w:val="20"/>
          <w:szCs w:val="20"/>
        </w:rPr>
        <w:t xml:space="preserve"> </w:t>
      </w:r>
      <w:r w:rsidR="00BC53DF">
        <w:rPr>
          <w:sz w:val="20"/>
          <w:szCs w:val="20"/>
        </w:rPr>
        <w:t>20</w:t>
      </w:r>
      <w:r w:rsidR="00EF26F7">
        <w:rPr>
          <w:sz w:val="20"/>
          <w:szCs w:val="20"/>
        </w:rPr>
        <w:t>.</w:t>
      </w:r>
      <w:r w:rsidR="005B23CE">
        <w:rPr>
          <w:sz w:val="20"/>
          <w:szCs w:val="20"/>
        </w:rPr>
        <w:t>7</w:t>
      </w:r>
      <w:r w:rsidR="00EF26F7">
        <w:rPr>
          <w:sz w:val="20"/>
          <w:szCs w:val="20"/>
        </w:rPr>
        <w:t xml:space="preserve">) </w:t>
      </w:r>
      <w:r>
        <w:rPr>
          <w:sz w:val="20"/>
          <w:szCs w:val="20"/>
        </w:rPr>
        <w:t xml:space="preserve">milyar dolar daha fazladır. </w:t>
      </w:r>
      <w:r w:rsidR="00BC53DF">
        <w:rPr>
          <w:sz w:val="20"/>
          <w:szCs w:val="20"/>
        </w:rPr>
        <w:t>2017 yılında</w:t>
      </w:r>
      <w:r>
        <w:rPr>
          <w:sz w:val="20"/>
          <w:szCs w:val="20"/>
        </w:rPr>
        <w:t xml:space="preserve"> ihracatta bir artma vardır ama, ithalatta</w:t>
      </w:r>
      <w:r w:rsidR="009471BA">
        <w:rPr>
          <w:sz w:val="20"/>
          <w:szCs w:val="20"/>
        </w:rPr>
        <w:t>ki artış daha fazladır.</w:t>
      </w:r>
      <w:r>
        <w:rPr>
          <w:sz w:val="20"/>
          <w:szCs w:val="20"/>
        </w:rPr>
        <w:t xml:space="preserve"> </w:t>
      </w:r>
      <w:r w:rsidR="00EF26F7" w:rsidRPr="00F4786B">
        <w:rPr>
          <w:b/>
          <w:sz w:val="20"/>
          <w:szCs w:val="20"/>
        </w:rPr>
        <w:t xml:space="preserve">2016 yılında </w:t>
      </w:r>
      <w:r w:rsidR="00500D4C" w:rsidRPr="00F4786B">
        <w:rPr>
          <w:b/>
          <w:sz w:val="20"/>
          <w:szCs w:val="20"/>
        </w:rPr>
        <w:t xml:space="preserve">        </w:t>
      </w:r>
      <w:r w:rsidR="00EF26F7" w:rsidRPr="00F4786B">
        <w:rPr>
          <w:b/>
          <w:sz w:val="20"/>
          <w:szCs w:val="20"/>
        </w:rPr>
        <w:t>% 71.8 olan ihracatın ithalatı karşılama oranı 2017 yılında % 67.2’ye düşmüştür.</w:t>
      </w:r>
      <w:r w:rsidR="00DB71B2">
        <w:rPr>
          <w:sz w:val="20"/>
          <w:szCs w:val="20"/>
        </w:rPr>
        <w:t xml:space="preserve"> Bu azalma dış ticaret</w:t>
      </w:r>
      <w:r w:rsidR="00920B4F">
        <w:rPr>
          <w:sz w:val="20"/>
          <w:szCs w:val="20"/>
        </w:rPr>
        <w:t xml:space="preserve"> dengesinin bir yıl öncesine göre kötüleştiğinin işaretidir.</w:t>
      </w:r>
      <w:r w:rsidR="00DB71B2">
        <w:rPr>
          <w:sz w:val="20"/>
          <w:szCs w:val="20"/>
        </w:rPr>
        <w:t xml:space="preserve"> </w:t>
      </w:r>
      <w:r w:rsidR="00AC0CEC">
        <w:rPr>
          <w:sz w:val="20"/>
          <w:szCs w:val="20"/>
        </w:rPr>
        <w:t xml:space="preserve">Ne yazık ki 2018 yılının ilk </w:t>
      </w:r>
      <w:r w:rsidR="004E47D9">
        <w:rPr>
          <w:sz w:val="20"/>
          <w:szCs w:val="20"/>
        </w:rPr>
        <w:t xml:space="preserve">dört </w:t>
      </w:r>
      <w:r w:rsidR="00AC0CEC">
        <w:rPr>
          <w:sz w:val="20"/>
          <w:szCs w:val="20"/>
        </w:rPr>
        <w:t>ayındaki durum da 2017</w:t>
      </w:r>
      <w:r w:rsidR="00E24908">
        <w:rPr>
          <w:sz w:val="20"/>
          <w:szCs w:val="20"/>
        </w:rPr>
        <w:t xml:space="preserve"> yılının aynı dönemine göre</w:t>
      </w:r>
      <w:r w:rsidR="00AC0CEC">
        <w:rPr>
          <w:sz w:val="20"/>
          <w:szCs w:val="20"/>
        </w:rPr>
        <w:t xml:space="preserve"> iyi değildir</w:t>
      </w:r>
      <w:r w:rsidR="00E24908">
        <w:rPr>
          <w:sz w:val="20"/>
          <w:szCs w:val="20"/>
        </w:rPr>
        <w:t xml:space="preserve">. </w:t>
      </w:r>
      <w:r w:rsidR="00AC0CEC">
        <w:rPr>
          <w:sz w:val="20"/>
          <w:szCs w:val="20"/>
        </w:rPr>
        <w:t xml:space="preserve">2017 yılının ilk </w:t>
      </w:r>
      <w:r w:rsidR="004E47D9">
        <w:rPr>
          <w:sz w:val="20"/>
          <w:szCs w:val="20"/>
        </w:rPr>
        <w:t>dört</w:t>
      </w:r>
      <w:r w:rsidR="00AC0CEC">
        <w:rPr>
          <w:sz w:val="20"/>
          <w:szCs w:val="20"/>
        </w:rPr>
        <w:t xml:space="preserve"> ayında ihracatın ithalatı karşılama oranı </w:t>
      </w:r>
      <w:r w:rsidR="00ED689E">
        <w:rPr>
          <w:sz w:val="20"/>
          <w:szCs w:val="20"/>
        </w:rPr>
        <w:t xml:space="preserve">     </w:t>
      </w:r>
      <w:r w:rsidR="00AC0CEC">
        <w:rPr>
          <w:sz w:val="20"/>
          <w:szCs w:val="20"/>
        </w:rPr>
        <w:lastRenderedPageBreak/>
        <w:t xml:space="preserve">% </w:t>
      </w:r>
      <w:r w:rsidR="00424B3B">
        <w:rPr>
          <w:sz w:val="20"/>
          <w:szCs w:val="20"/>
        </w:rPr>
        <w:t>74.3</w:t>
      </w:r>
      <w:r w:rsidR="00AC0CEC">
        <w:rPr>
          <w:sz w:val="20"/>
          <w:szCs w:val="20"/>
        </w:rPr>
        <w:t xml:space="preserve"> iken 2018 yılının ilk </w:t>
      </w:r>
      <w:r w:rsidR="004E47D9">
        <w:rPr>
          <w:sz w:val="20"/>
          <w:szCs w:val="20"/>
        </w:rPr>
        <w:t>dört</w:t>
      </w:r>
      <w:r w:rsidR="00AC0CEC">
        <w:rPr>
          <w:sz w:val="20"/>
          <w:szCs w:val="20"/>
        </w:rPr>
        <w:t xml:space="preserve"> ayında aynı oran % </w:t>
      </w:r>
      <w:r w:rsidR="00424B3B">
        <w:rPr>
          <w:sz w:val="20"/>
          <w:szCs w:val="20"/>
        </w:rPr>
        <w:t xml:space="preserve">66.7’ye </w:t>
      </w:r>
      <w:r w:rsidR="00AC0CEC">
        <w:rPr>
          <w:sz w:val="20"/>
          <w:szCs w:val="20"/>
        </w:rPr>
        <w:t xml:space="preserve">düşmüştür. </w:t>
      </w:r>
      <w:r w:rsidR="00CB3260">
        <w:rPr>
          <w:sz w:val="20"/>
          <w:szCs w:val="20"/>
        </w:rPr>
        <w:t xml:space="preserve">Ülkemizin dış ticaret durumundaki bu kötü gidişi durduramayan iktidar </w:t>
      </w:r>
      <w:r w:rsidR="00C40E04">
        <w:rPr>
          <w:sz w:val="20"/>
          <w:szCs w:val="20"/>
        </w:rPr>
        <w:t xml:space="preserve">yetkilileri </w:t>
      </w:r>
      <w:r w:rsidR="00CB3260">
        <w:rPr>
          <w:sz w:val="20"/>
          <w:szCs w:val="20"/>
        </w:rPr>
        <w:t xml:space="preserve">ihracat rakamlarını </w:t>
      </w:r>
      <w:r w:rsidR="00E24908">
        <w:rPr>
          <w:sz w:val="20"/>
          <w:szCs w:val="20"/>
        </w:rPr>
        <w:t xml:space="preserve">halkımıza </w:t>
      </w:r>
      <w:r w:rsidR="00CB3260">
        <w:rPr>
          <w:sz w:val="20"/>
          <w:szCs w:val="20"/>
        </w:rPr>
        <w:t xml:space="preserve">söylemekte, ithalat rakamları ile dış ticaret açığını </w:t>
      </w:r>
      <w:r w:rsidR="00E24908">
        <w:rPr>
          <w:sz w:val="20"/>
          <w:szCs w:val="20"/>
        </w:rPr>
        <w:t>ise</w:t>
      </w:r>
      <w:r w:rsidR="00CB3260">
        <w:rPr>
          <w:sz w:val="20"/>
          <w:szCs w:val="20"/>
        </w:rPr>
        <w:t xml:space="preserve"> söylememektedirler.</w:t>
      </w:r>
      <w:r w:rsidR="00E24908">
        <w:rPr>
          <w:sz w:val="20"/>
          <w:szCs w:val="20"/>
        </w:rPr>
        <w:t xml:space="preserve"> Yetkililerden</w:t>
      </w:r>
      <w:r w:rsidR="00CB3260">
        <w:rPr>
          <w:sz w:val="20"/>
          <w:szCs w:val="20"/>
        </w:rPr>
        <w:t xml:space="preserve"> </w:t>
      </w:r>
      <w:r w:rsidR="00E24908">
        <w:rPr>
          <w:sz w:val="20"/>
          <w:szCs w:val="20"/>
        </w:rPr>
        <w:t>i</w:t>
      </w:r>
      <w:r w:rsidR="00CB3260">
        <w:rPr>
          <w:sz w:val="20"/>
          <w:szCs w:val="20"/>
        </w:rPr>
        <w:t>hracatta</w:t>
      </w:r>
      <w:r w:rsidR="00E24908">
        <w:rPr>
          <w:sz w:val="20"/>
          <w:szCs w:val="20"/>
        </w:rPr>
        <w:t>ki</w:t>
      </w:r>
      <w:r w:rsidR="00CB3260">
        <w:rPr>
          <w:sz w:val="20"/>
          <w:szCs w:val="20"/>
        </w:rPr>
        <w:t xml:space="preserve"> artış</w:t>
      </w:r>
      <w:r w:rsidR="00E24908">
        <w:rPr>
          <w:sz w:val="20"/>
          <w:szCs w:val="20"/>
        </w:rPr>
        <w:t>ı</w:t>
      </w:r>
      <w:r w:rsidR="00CB3260">
        <w:rPr>
          <w:sz w:val="20"/>
          <w:szCs w:val="20"/>
        </w:rPr>
        <w:t xml:space="preserve"> </w:t>
      </w:r>
      <w:r w:rsidR="00E24908">
        <w:rPr>
          <w:sz w:val="20"/>
          <w:szCs w:val="20"/>
        </w:rPr>
        <w:t>duyan</w:t>
      </w:r>
      <w:r w:rsidR="00D73D31">
        <w:rPr>
          <w:sz w:val="20"/>
          <w:szCs w:val="20"/>
        </w:rPr>
        <w:t>,</w:t>
      </w:r>
      <w:r w:rsidR="00E24908">
        <w:rPr>
          <w:sz w:val="20"/>
          <w:szCs w:val="20"/>
        </w:rPr>
        <w:t xml:space="preserve"> ama ithalattaki artışı ve dış ticaret açığındaki durumu bilmeyen</w:t>
      </w:r>
      <w:r w:rsidR="00CB3260">
        <w:rPr>
          <w:sz w:val="20"/>
          <w:szCs w:val="20"/>
        </w:rPr>
        <w:t xml:space="preserve"> vatandaşımız sevinmektedir.</w:t>
      </w:r>
      <w:r w:rsidR="00E31913">
        <w:rPr>
          <w:sz w:val="20"/>
          <w:szCs w:val="20"/>
        </w:rPr>
        <w:t xml:space="preserve"> </w:t>
      </w:r>
      <w:r w:rsidR="00E31913" w:rsidRPr="008E42D9">
        <w:rPr>
          <w:b/>
          <w:sz w:val="20"/>
          <w:szCs w:val="20"/>
        </w:rPr>
        <w:t>Ancak ülkemiz</w:t>
      </w:r>
      <w:r w:rsidR="00AA027E">
        <w:rPr>
          <w:b/>
          <w:sz w:val="20"/>
          <w:szCs w:val="20"/>
        </w:rPr>
        <w:t>in</w:t>
      </w:r>
      <w:r w:rsidR="00E31913" w:rsidRPr="008E42D9">
        <w:rPr>
          <w:b/>
          <w:sz w:val="20"/>
          <w:szCs w:val="20"/>
        </w:rPr>
        <w:t xml:space="preserve"> ekonomisi maalesef iyi değildir.</w:t>
      </w:r>
    </w:p>
    <w:p w:rsidR="00EF2D1A" w:rsidRDefault="003242FB" w:rsidP="003242FB">
      <w:pPr>
        <w:pStyle w:val="ListeParagraf"/>
        <w:spacing w:line="360" w:lineRule="auto"/>
        <w:ind w:left="0" w:firstLine="708"/>
        <w:jc w:val="both"/>
        <w:rPr>
          <w:b/>
          <w:sz w:val="20"/>
          <w:szCs w:val="20"/>
        </w:rPr>
      </w:pPr>
      <w:r w:rsidRPr="004D3231">
        <w:rPr>
          <w:b/>
          <w:sz w:val="20"/>
          <w:szCs w:val="20"/>
        </w:rPr>
        <w:t>2002’de 0.6 milyar dolar olan cari açık 201</w:t>
      </w:r>
      <w:r w:rsidR="003703BB">
        <w:rPr>
          <w:b/>
          <w:sz w:val="20"/>
          <w:szCs w:val="20"/>
        </w:rPr>
        <w:t>6</w:t>
      </w:r>
      <w:r w:rsidRPr="004D3231">
        <w:rPr>
          <w:b/>
          <w:sz w:val="20"/>
          <w:szCs w:val="20"/>
        </w:rPr>
        <w:t>’d</w:t>
      </w:r>
      <w:r w:rsidR="003703BB">
        <w:rPr>
          <w:b/>
          <w:sz w:val="20"/>
          <w:szCs w:val="20"/>
        </w:rPr>
        <w:t>a</w:t>
      </w:r>
      <w:r w:rsidRPr="004D3231">
        <w:rPr>
          <w:b/>
          <w:sz w:val="20"/>
          <w:szCs w:val="20"/>
        </w:rPr>
        <w:t xml:space="preserve"> 3</w:t>
      </w:r>
      <w:r w:rsidR="00744639">
        <w:rPr>
          <w:b/>
          <w:sz w:val="20"/>
          <w:szCs w:val="20"/>
        </w:rPr>
        <w:t>3</w:t>
      </w:r>
      <w:r w:rsidRPr="004D3231">
        <w:rPr>
          <w:b/>
          <w:sz w:val="20"/>
          <w:szCs w:val="20"/>
        </w:rPr>
        <w:t>.</w:t>
      </w:r>
      <w:r w:rsidR="00744639">
        <w:rPr>
          <w:b/>
          <w:sz w:val="20"/>
          <w:szCs w:val="20"/>
        </w:rPr>
        <w:t>1</w:t>
      </w:r>
      <w:r w:rsidRPr="004D3231">
        <w:rPr>
          <w:b/>
          <w:sz w:val="20"/>
          <w:szCs w:val="20"/>
        </w:rPr>
        <w:t xml:space="preserve"> milyar dolar gibi oldukça yüksek bir düzeyde gerçekleşmiştir. </w:t>
      </w:r>
      <w:r w:rsidRPr="00D26953">
        <w:rPr>
          <w:sz w:val="20"/>
          <w:szCs w:val="20"/>
        </w:rPr>
        <w:t xml:space="preserve">Bu iki tarih arasındaki diğer yıllarda da cari açık söz konusudur. </w:t>
      </w:r>
      <w:r w:rsidR="006420AA">
        <w:rPr>
          <w:b/>
          <w:sz w:val="20"/>
          <w:szCs w:val="20"/>
        </w:rPr>
        <w:t>2017 yılı</w:t>
      </w:r>
      <w:r w:rsidR="00744639">
        <w:rPr>
          <w:b/>
          <w:sz w:val="20"/>
          <w:szCs w:val="20"/>
        </w:rPr>
        <w:t>ndaki</w:t>
      </w:r>
      <w:r w:rsidR="006420AA">
        <w:rPr>
          <w:b/>
          <w:sz w:val="20"/>
          <w:szCs w:val="20"/>
        </w:rPr>
        <w:t xml:space="preserve"> cari açık </w:t>
      </w:r>
      <w:r w:rsidR="00744639">
        <w:rPr>
          <w:b/>
          <w:sz w:val="20"/>
          <w:szCs w:val="20"/>
        </w:rPr>
        <w:t>47.1</w:t>
      </w:r>
      <w:r w:rsidR="006420AA">
        <w:rPr>
          <w:b/>
          <w:sz w:val="20"/>
          <w:szCs w:val="20"/>
        </w:rPr>
        <w:t xml:space="preserve"> milyar dolardır </w:t>
      </w:r>
      <w:r w:rsidR="008E651F">
        <w:rPr>
          <w:b/>
          <w:sz w:val="20"/>
          <w:szCs w:val="20"/>
        </w:rPr>
        <w:t xml:space="preserve">ve bu cari açık 2016 yılındaki cari açıktan 14.0 (47.1 – 33.1=14.0) milyar dolar daha fazladır. </w:t>
      </w:r>
      <w:r w:rsidR="004F1788" w:rsidRPr="004F1788">
        <w:rPr>
          <w:b/>
          <w:sz w:val="20"/>
          <w:szCs w:val="20"/>
        </w:rPr>
        <w:t>Cari açığın fazla olması Türk ekonomisinin iyi yönetilmediğinin işaretidir</w:t>
      </w:r>
      <w:r w:rsidR="008E651F">
        <w:rPr>
          <w:b/>
          <w:sz w:val="20"/>
          <w:szCs w:val="20"/>
        </w:rPr>
        <w:t>.</w:t>
      </w:r>
      <w:r w:rsidR="004F1788">
        <w:rPr>
          <w:sz w:val="20"/>
          <w:szCs w:val="20"/>
        </w:rPr>
        <w:t xml:space="preserve"> </w:t>
      </w:r>
      <w:r w:rsidR="007C6C26">
        <w:rPr>
          <w:b/>
          <w:sz w:val="20"/>
          <w:szCs w:val="20"/>
        </w:rPr>
        <w:t xml:space="preserve">Temennimiz cari açığın </w:t>
      </w:r>
      <w:r w:rsidR="00325F35">
        <w:rPr>
          <w:b/>
          <w:sz w:val="20"/>
          <w:szCs w:val="20"/>
        </w:rPr>
        <w:t>olmaması</w:t>
      </w:r>
      <w:r w:rsidR="0005257E">
        <w:rPr>
          <w:b/>
          <w:sz w:val="20"/>
          <w:szCs w:val="20"/>
        </w:rPr>
        <w:t>, eğer</w:t>
      </w:r>
      <w:r w:rsidR="00325F35">
        <w:rPr>
          <w:b/>
          <w:sz w:val="20"/>
          <w:szCs w:val="20"/>
        </w:rPr>
        <w:t xml:space="preserve"> bu yapılamıyorsa </w:t>
      </w:r>
      <w:r w:rsidR="007C6C26">
        <w:rPr>
          <w:b/>
          <w:sz w:val="20"/>
          <w:szCs w:val="20"/>
        </w:rPr>
        <w:t xml:space="preserve">azaltılmasıdır. </w:t>
      </w:r>
      <w:r w:rsidR="00691CD4">
        <w:rPr>
          <w:b/>
          <w:sz w:val="20"/>
          <w:szCs w:val="20"/>
        </w:rPr>
        <w:t xml:space="preserve">2018 yılının </w:t>
      </w:r>
      <w:r w:rsidR="00957058">
        <w:rPr>
          <w:b/>
          <w:sz w:val="20"/>
          <w:szCs w:val="20"/>
        </w:rPr>
        <w:t xml:space="preserve">ilk </w:t>
      </w:r>
      <w:r w:rsidR="00787F0B">
        <w:rPr>
          <w:b/>
          <w:sz w:val="20"/>
          <w:szCs w:val="20"/>
        </w:rPr>
        <w:t>üç</w:t>
      </w:r>
      <w:r w:rsidR="00957058">
        <w:rPr>
          <w:b/>
          <w:sz w:val="20"/>
          <w:szCs w:val="20"/>
        </w:rPr>
        <w:t xml:space="preserve"> ayındaki </w:t>
      </w:r>
      <w:r w:rsidR="008E651F">
        <w:rPr>
          <w:b/>
          <w:sz w:val="20"/>
          <w:szCs w:val="20"/>
        </w:rPr>
        <w:t>(</w:t>
      </w:r>
      <w:r w:rsidR="00691CD4">
        <w:rPr>
          <w:b/>
          <w:sz w:val="20"/>
          <w:szCs w:val="20"/>
        </w:rPr>
        <w:t>Ocak</w:t>
      </w:r>
      <w:r w:rsidR="00957058">
        <w:rPr>
          <w:b/>
          <w:sz w:val="20"/>
          <w:szCs w:val="20"/>
        </w:rPr>
        <w:t>-</w:t>
      </w:r>
      <w:r w:rsidR="00787F0B">
        <w:rPr>
          <w:b/>
          <w:sz w:val="20"/>
          <w:szCs w:val="20"/>
        </w:rPr>
        <w:t>Mart</w:t>
      </w:r>
      <w:r w:rsidR="008E651F">
        <w:rPr>
          <w:b/>
          <w:sz w:val="20"/>
          <w:szCs w:val="20"/>
        </w:rPr>
        <w:t>)</w:t>
      </w:r>
      <w:r w:rsidR="00691CD4">
        <w:rPr>
          <w:b/>
          <w:sz w:val="20"/>
          <w:szCs w:val="20"/>
        </w:rPr>
        <w:t xml:space="preserve"> cari denge durumu maalesef </w:t>
      </w:r>
      <w:r w:rsidR="008E651F">
        <w:rPr>
          <w:b/>
          <w:sz w:val="20"/>
          <w:szCs w:val="20"/>
        </w:rPr>
        <w:t>2017</w:t>
      </w:r>
      <w:r w:rsidR="00691CD4">
        <w:rPr>
          <w:b/>
          <w:sz w:val="20"/>
          <w:szCs w:val="20"/>
        </w:rPr>
        <w:t xml:space="preserve"> yıl</w:t>
      </w:r>
      <w:r w:rsidR="008E651F">
        <w:rPr>
          <w:b/>
          <w:sz w:val="20"/>
          <w:szCs w:val="20"/>
        </w:rPr>
        <w:t>ın</w:t>
      </w:r>
      <w:r w:rsidR="00691CD4">
        <w:rPr>
          <w:b/>
          <w:sz w:val="20"/>
          <w:szCs w:val="20"/>
        </w:rPr>
        <w:t xml:space="preserve">dan daha kötüdür ve </w:t>
      </w:r>
      <w:r w:rsidR="00787F0B">
        <w:rPr>
          <w:b/>
          <w:sz w:val="20"/>
          <w:szCs w:val="20"/>
        </w:rPr>
        <w:t xml:space="preserve">Mart </w:t>
      </w:r>
      <w:r w:rsidR="008E651F">
        <w:rPr>
          <w:b/>
          <w:sz w:val="20"/>
          <w:szCs w:val="20"/>
        </w:rPr>
        <w:t>2017</w:t>
      </w:r>
      <w:r w:rsidR="00D23A4B">
        <w:rPr>
          <w:b/>
          <w:sz w:val="20"/>
          <w:szCs w:val="20"/>
        </w:rPr>
        <w:t xml:space="preserve"> sonunda</w:t>
      </w:r>
      <w:r w:rsidR="008E651F">
        <w:rPr>
          <w:b/>
          <w:sz w:val="20"/>
          <w:szCs w:val="20"/>
        </w:rPr>
        <w:t xml:space="preserve"> </w:t>
      </w:r>
      <w:r w:rsidR="00787F0B">
        <w:rPr>
          <w:b/>
          <w:sz w:val="20"/>
          <w:szCs w:val="20"/>
        </w:rPr>
        <w:t>8</w:t>
      </w:r>
      <w:r w:rsidR="008E651F">
        <w:rPr>
          <w:b/>
          <w:sz w:val="20"/>
          <w:szCs w:val="20"/>
        </w:rPr>
        <w:t>.</w:t>
      </w:r>
      <w:r w:rsidR="00787F0B">
        <w:rPr>
          <w:b/>
          <w:sz w:val="20"/>
          <w:szCs w:val="20"/>
        </w:rPr>
        <w:t>4</w:t>
      </w:r>
      <w:r w:rsidR="008E651F">
        <w:rPr>
          <w:b/>
          <w:sz w:val="20"/>
          <w:szCs w:val="20"/>
        </w:rPr>
        <w:t xml:space="preserve"> milyar dolar olan </w:t>
      </w:r>
      <w:r w:rsidR="00D23A4B">
        <w:rPr>
          <w:b/>
          <w:sz w:val="20"/>
          <w:szCs w:val="20"/>
        </w:rPr>
        <w:t xml:space="preserve">üç aylık </w:t>
      </w:r>
      <w:r w:rsidR="008E651F">
        <w:rPr>
          <w:b/>
          <w:sz w:val="20"/>
          <w:szCs w:val="20"/>
        </w:rPr>
        <w:t xml:space="preserve">cari açık </w:t>
      </w:r>
      <w:r w:rsidR="00691CD4">
        <w:rPr>
          <w:b/>
          <w:sz w:val="20"/>
          <w:szCs w:val="20"/>
        </w:rPr>
        <w:t>2018</w:t>
      </w:r>
      <w:r w:rsidR="00957058">
        <w:rPr>
          <w:b/>
          <w:sz w:val="20"/>
          <w:szCs w:val="20"/>
        </w:rPr>
        <w:t xml:space="preserve"> </w:t>
      </w:r>
      <w:r w:rsidR="00D23A4B">
        <w:rPr>
          <w:b/>
          <w:sz w:val="20"/>
          <w:szCs w:val="20"/>
        </w:rPr>
        <w:t xml:space="preserve">yılı Mart ayı </w:t>
      </w:r>
      <w:r w:rsidR="00957058">
        <w:rPr>
          <w:b/>
          <w:sz w:val="20"/>
          <w:szCs w:val="20"/>
        </w:rPr>
        <w:t>sonund</w:t>
      </w:r>
      <w:r w:rsidR="008E651F">
        <w:rPr>
          <w:b/>
          <w:sz w:val="20"/>
          <w:szCs w:val="20"/>
        </w:rPr>
        <w:t>a</w:t>
      </w:r>
      <w:r w:rsidR="00957058">
        <w:rPr>
          <w:b/>
          <w:sz w:val="20"/>
          <w:szCs w:val="20"/>
        </w:rPr>
        <w:t xml:space="preserve"> 1</w:t>
      </w:r>
      <w:r w:rsidR="00787F0B">
        <w:rPr>
          <w:b/>
          <w:sz w:val="20"/>
          <w:szCs w:val="20"/>
        </w:rPr>
        <w:t>6</w:t>
      </w:r>
      <w:r w:rsidR="00957058">
        <w:rPr>
          <w:b/>
          <w:sz w:val="20"/>
          <w:szCs w:val="20"/>
        </w:rPr>
        <w:t>.</w:t>
      </w:r>
      <w:r w:rsidR="00787F0B">
        <w:rPr>
          <w:b/>
          <w:sz w:val="20"/>
          <w:szCs w:val="20"/>
        </w:rPr>
        <w:t>4</w:t>
      </w:r>
      <w:r w:rsidR="00691CD4">
        <w:rPr>
          <w:b/>
          <w:sz w:val="20"/>
          <w:szCs w:val="20"/>
        </w:rPr>
        <w:t xml:space="preserve"> milyar dolardır.</w:t>
      </w:r>
      <w:r w:rsidR="00787F0B">
        <w:rPr>
          <w:b/>
          <w:sz w:val="20"/>
          <w:szCs w:val="20"/>
        </w:rPr>
        <w:t xml:space="preserve"> Mart 2018’de yıllık (Mart 2017-Mart 2018) cari açık 55.4 milyar dolardır.</w:t>
      </w:r>
    </w:p>
    <w:p w:rsidR="003242FB" w:rsidRDefault="003242FB" w:rsidP="003242FB">
      <w:pPr>
        <w:pStyle w:val="ListeParagraf"/>
        <w:spacing w:line="360" w:lineRule="auto"/>
        <w:ind w:left="0" w:firstLine="708"/>
        <w:jc w:val="both"/>
        <w:rPr>
          <w:sz w:val="20"/>
          <w:szCs w:val="20"/>
        </w:rPr>
      </w:pPr>
      <w:r w:rsidRPr="004D3231">
        <w:rPr>
          <w:sz w:val="20"/>
          <w:szCs w:val="20"/>
        </w:rPr>
        <w:t>Ülke ekonomileri değerlendirilirken ihracatın fazla olması, ithalatın ise az olması arzu edilir. Dış ticaret açığı ve cari açığın olması arzu edilmez. Hele hele cari açığın çok yüksek olması hiç istenmez.</w:t>
      </w:r>
      <w:r w:rsidR="006F3FA4">
        <w:rPr>
          <w:sz w:val="20"/>
          <w:szCs w:val="20"/>
        </w:rPr>
        <w:t xml:space="preserve"> </w:t>
      </w:r>
      <w:r w:rsidR="006F3FA4" w:rsidRPr="00B1149B">
        <w:rPr>
          <w:b/>
          <w:sz w:val="20"/>
          <w:szCs w:val="20"/>
        </w:rPr>
        <w:t xml:space="preserve">Almanya’nın ekonomisinin güçlü görünmesinin sebebi dış ticaret fazlasının ve cari </w:t>
      </w:r>
      <w:r w:rsidR="007430CC" w:rsidRPr="00B1149B">
        <w:rPr>
          <w:b/>
          <w:sz w:val="20"/>
          <w:szCs w:val="20"/>
        </w:rPr>
        <w:t>dengede</w:t>
      </w:r>
      <w:r w:rsidR="006F3FA4" w:rsidRPr="00B1149B">
        <w:rPr>
          <w:b/>
          <w:sz w:val="20"/>
          <w:szCs w:val="20"/>
        </w:rPr>
        <w:t xml:space="preserve"> fazlasının </w:t>
      </w:r>
      <w:r w:rsidR="00325F35" w:rsidRPr="00B1149B">
        <w:rPr>
          <w:b/>
          <w:sz w:val="20"/>
          <w:szCs w:val="20"/>
        </w:rPr>
        <w:t>bulunması</w:t>
      </w:r>
      <w:r w:rsidR="006D6867" w:rsidRPr="00B1149B">
        <w:rPr>
          <w:b/>
          <w:sz w:val="20"/>
          <w:szCs w:val="20"/>
        </w:rPr>
        <w:t>ndan</w:t>
      </w:r>
      <w:r w:rsidR="00325F35" w:rsidRPr="00B1149B">
        <w:rPr>
          <w:b/>
          <w:sz w:val="20"/>
          <w:szCs w:val="20"/>
        </w:rPr>
        <w:t>dır.</w:t>
      </w:r>
      <w:r w:rsidRPr="00B1149B">
        <w:rPr>
          <w:b/>
          <w:sz w:val="20"/>
          <w:szCs w:val="20"/>
        </w:rPr>
        <w:t xml:space="preserve"> </w:t>
      </w:r>
      <w:r w:rsidR="002A67DF">
        <w:rPr>
          <w:sz w:val="20"/>
          <w:szCs w:val="20"/>
        </w:rPr>
        <w:t xml:space="preserve">15 yıldan beri </w:t>
      </w:r>
      <w:r w:rsidRPr="004D3231">
        <w:rPr>
          <w:sz w:val="20"/>
          <w:szCs w:val="20"/>
        </w:rPr>
        <w:t>Türkiye’yi yöneten iktidarlar maalesef cari açığı ortadan kaldırıp, cari dengenin sağlanmasında bir türlü başarılı olamıyorlar.</w:t>
      </w:r>
    </w:p>
    <w:p w:rsidR="00BA10BE" w:rsidRDefault="00BA10BE" w:rsidP="003242FB">
      <w:pPr>
        <w:pStyle w:val="ListeParagraf"/>
        <w:spacing w:line="360" w:lineRule="auto"/>
        <w:ind w:left="0" w:firstLine="708"/>
        <w:jc w:val="both"/>
        <w:rPr>
          <w:sz w:val="20"/>
          <w:szCs w:val="20"/>
        </w:rPr>
      </w:pPr>
    </w:p>
    <w:p w:rsidR="000C17C5" w:rsidRPr="00691CD4" w:rsidRDefault="00BA10BE" w:rsidP="006A5194">
      <w:pPr>
        <w:pStyle w:val="ListeParagraf"/>
        <w:numPr>
          <w:ilvl w:val="0"/>
          <w:numId w:val="1"/>
        </w:numPr>
        <w:tabs>
          <w:tab w:val="left" w:pos="284"/>
          <w:tab w:val="left" w:pos="709"/>
          <w:tab w:val="left" w:pos="3828"/>
          <w:tab w:val="left" w:pos="4253"/>
        </w:tabs>
        <w:spacing w:line="360" w:lineRule="auto"/>
        <w:ind w:left="0" w:firstLine="0"/>
        <w:jc w:val="both"/>
        <w:rPr>
          <w:sz w:val="20"/>
          <w:szCs w:val="20"/>
        </w:rPr>
      </w:pPr>
      <w:r w:rsidRPr="00691CD4">
        <w:rPr>
          <w:b/>
          <w:sz w:val="20"/>
          <w:szCs w:val="20"/>
        </w:rPr>
        <w:t>Bütçe Değerlendirmeleri;</w:t>
      </w:r>
      <w:r w:rsidR="002539CC" w:rsidRPr="00691CD4">
        <w:rPr>
          <w:sz w:val="20"/>
          <w:szCs w:val="20"/>
        </w:rPr>
        <w:t xml:space="preserve"> </w:t>
      </w:r>
      <w:r w:rsidR="003B5750" w:rsidRPr="00691CD4">
        <w:rPr>
          <w:sz w:val="20"/>
          <w:szCs w:val="20"/>
        </w:rPr>
        <w:t xml:space="preserve">2018 yılı </w:t>
      </w:r>
      <w:r w:rsidR="002D5B56">
        <w:rPr>
          <w:sz w:val="20"/>
          <w:szCs w:val="20"/>
        </w:rPr>
        <w:t>Nisan</w:t>
      </w:r>
      <w:r w:rsidR="003B5750" w:rsidRPr="00691CD4">
        <w:rPr>
          <w:sz w:val="20"/>
          <w:szCs w:val="20"/>
        </w:rPr>
        <w:t xml:space="preserve"> ayı bütçe uygulamaları da açıklandı. </w:t>
      </w:r>
      <w:r w:rsidR="005D568E" w:rsidRPr="00691CD4">
        <w:rPr>
          <w:sz w:val="20"/>
          <w:szCs w:val="20"/>
        </w:rPr>
        <w:t>Bu ayki raporumuz</w:t>
      </w:r>
      <w:r w:rsidR="00691CD4" w:rsidRPr="00691CD4">
        <w:rPr>
          <w:sz w:val="20"/>
          <w:szCs w:val="20"/>
        </w:rPr>
        <w:t>d</w:t>
      </w:r>
      <w:r w:rsidR="005D568E" w:rsidRPr="00691CD4">
        <w:rPr>
          <w:sz w:val="20"/>
          <w:szCs w:val="20"/>
        </w:rPr>
        <w:t xml:space="preserve">a </w:t>
      </w:r>
      <w:r w:rsidR="000C17C5" w:rsidRPr="00691CD4">
        <w:rPr>
          <w:sz w:val="20"/>
          <w:szCs w:val="20"/>
        </w:rPr>
        <w:t xml:space="preserve">2018 senesinin ilk </w:t>
      </w:r>
      <w:r w:rsidR="002D5B56">
        <w:rPr>
          <w:sz w:val="20"/>
          <w:szCs w:val="20"/>
        </w:rPr>
        <w:t>dört</w:t>
      </w:r>
      <w:r w:rsidR="00691CD4" w:rsidRPr="00691CD4">
        <w:rPr>
          <w:sz w:val="20"/>
          <w:szCs w:val="20"/>
        </w:rPr>
        <w:t xml:space="preserve"> </w:t>
      </w:r>
      <w:r w:rsidR="000C17C5" w:rsidRPr="00691CD4">
        <w:rPr>
          <w:sz w:val="20"/>
          <w:szCs w:val="20"/>
        </w:rPr>
        <w:t xml:space="preserve">ayı olması münasebetiyle </w:t>
      </w:r>
      <w:r w:rsidR="00691CD4" w:rsidRPr="00691CD4">
        <w:rPr>
          <w:sz w:val="20"/>
          <w:szCs w:val="20"/>
        </w:rPr>
        <w:t xml:space="preserve">bütçe uygulamaları hakkında </w:t>
      </w:r>
      <w:r w:rsidR="000C17C5" w:rsidRPr="00691CD4">
        <w:rPr>
          <w:sz w:val="20"/>
          <w:szCs w:val="20"/>
        </w:rPr>
        <w:t>fazla detaya girmeden kısa bilgiler sunmak istiyoruz. 2018 yılı</w:t>
      </w:r>
      <w:r w:rsidR="00691CD4" w:rsidRPr="00691CD4">
        <w:rPr>
          <w:sz w:val="20"/>
          <w:szCs w:val="20"/>
        </w:rPr>
        <w:t>nın</w:t>
      </w:r>
      <w:r w:rsidR="000C17C5" w:rsidRPr="00691CD4">
        <w:rPr>
          <w:sz w:val="20"/>
          <w:szCs w:val="20"/>
        </w:rPr>
        <w:t xml:space="preserve"> </w:t>
      </w:r>
      <w:r w:rsidR="00691CD4" w:rsidRPr="00691CD4">
        <w:rPr>
          <w:sz w:val="20"/>
          <w:szCs w:val="20"/>
        </w:rPr>
        <w:t xml:space="preserve">ilk </w:t>
      </w:r>
      <w:r w:rsidR="002D5B56">
        <w:rPr>
          <w:sz w:val="20"/>
          <w:szCs w:val="20"/>
        </w:rPr>
        <w:t>dört</w:t>
      </w:r>
      <w:r w:rsidR="00691CD4" w:rsidRPr="00691CD4">
        <w:rPr>
          <w:sz w:val="20"/>
          <w:szCs w:val="20"/>
        </w:rPr>
        <w:t xml:space="preserve"> </w:t>
      </w:r>
      <w:r w:rsidR="000C17C5" w:rsidRPr="00691CD4">
        <w:rPr>
          <w:sz w:val="20"/>
          <w:szCs w:val="20"/>
        </w:rPr>
        <w:t>ayında</w:t>
      </w:r>
      <w:r w:rsidR="002539CC" w:rsidRPr="00691CD4">
        <w:rPr>
          <w:sz w:val="20"/>
          <w:szCs w:val="20"/>
        </w:rPr>
        <w:t xml:space="preserve"> </w:t>
      </w:r>
      <w:r w:rsidR="000C17C5" w:rsidRPr="00691CD4">
        <w:rPr>
          <w:b/>
          <w:sz w:val="20"/>
          <w:szCs w:val="20"/>
        </w:rPr>
        <w:t>Yılın tamamı</w:t>
      </w:r>
      <w:r w:rsidR="002539CC" w:rsidRPr="00691CD4">
        <w:rPr>
          <w:b/>
          <w:sz w:val="20"/>
          <w:szCs w:val="20"/>
        </w:rPr>
        <w:t xml:space="preserve"> için </w:t>
      </w:r>
      <w:r w:rsidR="000C17C5" w:rsidRPr="00691CD4">
        <w:rPr>
          <w:b/>
          <w:sz w:val="20"/>
          <w:szCs w:val="20"/>
        </w:rPr>
        <w:t>ayrılan 71.7</w:t>
      </w:r>
      <w:r w:rsidR="002539CC" w:rsidRPr="00691CD4">
        <w:rPr>
          <w:b/>
          <w:sz w:val="20"/>
          <w:szCs w:val="20"/>
        </w:rPr>
        <w:t xml:space="preserve"> milyar TL</w:t>
      </w:r>
      <w:r w:rsidR="000C17C5" w:rsidRPr="00691CD4">
        <w:rPr>
          <w:b/>
          <w:sz w:val="20"/>
          <w:szCs w:val="20"/>
        </w:rPr>
        <w:t>’</w:t>
      </w:r>
      <w:r w:rsidR="005B23CE" w:rsidRPr="00691CD4">
        <w:rPr>
          <w:b/>
          <w:sz w:val="20"/>
          <w:szCs w:val="20"/>
        </w:rPr>
        <w:t xml:space="preserve">lik faiz ödemelerinin </w:t>
      </w:r>
      <w:r w:rsidR="00957058">
        <w:rPr>
          <w:b/>
          <w:sz w:val="20"/>
          <w:szCs w:val="20"/>
        </w:rPr>
        <w:t>2</w:t>
      </w:r>
      <w:r w:rsidR="002D5B56">
        <w:rPr>
          <w:b/>
          <w:sz w:val="20"/>
          <w:szCs w:val="20"/>
        </w:rPr>
        <w:t>5</w:t>
      </w:r>
      <w:r w:rsidR="00957058">
        <w:rPr>
          <w:b/>
          <w:sz w:val="20"/>
          <w:szCs w:val="20"/>
        </w:rPr>
        <w:t>.</w:t>
      </w:r>
      <w:r w:rsidR="002D5B56">
        <w:rPr>
          <w:b/>
          <w:sz w:val="20"/>
          <w:szCs w:val="20"/>
        </w:rPr>
        <w:t xml:space="preserve">4 </w:t>
      </w:r>
      <w:r w:rsidR="000C17C5" w:rsidRPr="00691CD4">
        <w:rPr>
          <w:b/>
          <w:sz w:val="20"/>
          <w:szCs w:val="20"/>
        </w:rPr>
        <w:t>milyar TL’si harcanmıştır.</w:t>
      </w:r>
      <w:r w:rsidR="006A5194" w:rsidRPr="00691CD4">
        <w:rPr>
          <w:b/>
          <w:sz w:val="20"/>
          <w:szCs w:val="20"/>
        </w:rPr>
        <w:t xml:space="preserve"> </w:t>
      </w:r>
    </w:p>
    <w:p w:rsidR="002539CC" w:rsidRDefault="002539CC" w:rsidP="00DB71B2">
      <w:pPr>
        <w:pStyle w:val="ListeParagraf"/>
        <w:tabs>
          <w:tab w:val="left" w:pos="709"/>
          <w:tab w:val="left" w:pos="993"/>
          <w:tab w:val="left" w:pos="3828"/>
          <w:tab w:val="left" w:pos="4253"/>
        </w:tabs>
        <w:spacing w:line="360" w:lineRule="auto"/>
        <w:ind w:left="0"/>
        <w:jc w:val="both"/>
        <w:rPr>
          <w:sz w:val="20"/>
          <w:szCs w:val="20"/>
        </w:rPr>
      </w:pPr>
      <w:r>
        <w:rPr>
          <w:sz w:val="20"/>
          <w:szCs w:val="20"/>
        </w:rPr>
        <w:t xml:space="preserve">       </w:t>
      </w:r>
      <w:r w:rsidR="00DB71B2">
        <w:rPr>
          <w:sz w:val="20"/>
          <w:szCs w:val="20"/>
        </w:rPr>
        <w:t xml:space="preserve">    </w:t>
      </w:r>
      <w:r w:rsidR="00F06D9F">
        <w:rPr>
          <w:b/>
          <w:sz w:val="20"/>
          <w:szCs w:val="20"/>
        </w:rPr>
        <w:t>Bütçeden yapılacak faiz ödemeleri</w:t>
      </w:r>
      <w:r w:rsidR="00C86842">
        <w:rPr>
          <w:b/>
          <w:sz w:val="20"/>
          <w:szCs w:val="20"/>
        </w:rPr>
        <w:t>nin</w:t>
      </w:r>
      <w:r w:rsidR="00F06D9F">
        <w:rPr>
          <w:b/>
          <w:sz w:val="20"/>
          <w:szCs w:val="20"/>
        </w:rPr>
        <w:t xml:space="preserve"> 2019 ve 2020 yıllarında daha fazla olacağı planlanmıştır. </w:t>
      </w:r>
      <w:r w:rsidRPr="00B048D9">
        <w:rPr>
          <w:b/>
          <w:sz w:val="20"/>
          <w:szCs w:val="20"/>
        </w:rPr>
        <w:t>Faiz ödemeleri nasıl arttırılmasın. Borçlar başlığı altında açıklandığı üzere</w:t>
      </w:r>
      <w:r>
        <w:rPr>
          <w:b/>
          <w:sz w:val="20"/>
          <w:szCs w:val="20"/>
        </w:rPr>
        <w:t>,</w:t>
      </w:r>
      <w:r w:rsidRPr="00B048D9">
        <w:rPr>
          <w:b/>
          <w:sz w:val="20"/>
          <w:szCs w:val="20"/>
        </w:rPr>
        <w:t xml:space="preserve"> </w:t>
      </w:r>
      <w:r w:rsidR="00D73D31">
        <w:rPr>
          <w:b/>
          <w:sz w:val="20"/>
          <w:szCs w:val="20"/>
        </w:rPr>
        <w:t xml:space="preserve">2017  yılında 954.5 milyar TL olan </w:t>
      </w:r>
      <w:r w:rsidR="00A44218">
        <w:rPr>
          <w:b/>
          <w:sz w:val="20"/>
          <w:szCs w:val="20"/>
        </w:rPr>
        <w:t xml:space="preserve">Kamu </w:t>
      </w:r>
      <w:r w:rsidR="00D73D31">
        <w:rPr>
          <w:b/>
          <w:sz w:val="20"/>
          <w:szCs w:val="20"/>
        </w:rPr>
        <w:t xml:space="preserve">Brüt </w:t>
      </w:r>
      <w:r w:rsidRPr="00B048D9">
        <w:rPr>
          <w:b/>
          <w:sz w:val="20"/>
          <w:szCs w:val="20"/>
        </w:rPr>
        <w:t xml:space="preserve">Toplam Borç Stoku </w:t>
      </w:r>
      <w:r w:rsidR="00D73D31">
        <w:rPr>
          <w:b/>
          <w:sz w:val="20"/>
          <w:szCs w:val="20"/>
        </w:rPr>
        <w:t xml:space="preserve">677.7 milyar TL olan 2017 yılı </w:t>
      </w:r>
      <w:r w:rsidR="001806F1">
        <w:rPr>
          <w:b/>
          <w:sz w:val="20"/>
          <w:szCs w:val="20"/>
        </w:rPr>
        <w:t xml:space="preserve">Türkiye </w:t>
      </w:r>
      <w:r w:rsidR="00D73D31">
        <w:rPr>
          <w:b/>
          <w:sz w:val="20"/>
          <w:szCs w:val="20"/>
        </w:rPr>
        <w:t>bütçesinden fazla olduğu gibi</w:t>
      </w:r>
      <w:r w:rsidR="001806F1">
        <w:rPr>
          <w:b/>
          <w:sz w:val="20"/>
          <w:szCs w:val="20"/>
        </w:rPr>
        <w:t>,</w:t>
      </w:r>
      <w:r w:rsidR="00D73D31">
        <w:rPr>
          <w:b/>
          <w:sz w:val="20"/>
          <w:szCs w:val="20"/>
        </w:rPr>
        <w:t xml:space="preserve"> 762.8 milyar TL ol</w:t>
      </w:r>
      <w:r w:rsidR="008E42D9">
        <w:rPr>
          <w:b/>
          <w:sz w:val="20"/>
          <w:szCs w:val="20"/>
        </w:rPr>
        <w:t>arak hazırlanan</w:t>
      </w:r>
      <w:r w:rsidR="00D73D31">
        <w:rPr>
          <w:b/>
          <w:sz w:val="20"/>
          <w:szCs w:val="20"/>
        </w:rPr>
        <w:t xml:space="preserve"> 2018 yılı </w:t>
      </w:r>
      <w:r w:rsidRPr="00B048D9">
        <w:rPr>
          <w:b/>
          <w:sz w:val="20"/>
          <w:szCs w:val="20"/>
        </w:rPr>
        <w:t xml:space="preserve">Türkiye </w:t>
      </w:r>
      <w:r w:rsidR="001806F1">
        <w:rPr>
          <w:b/>
          <w:sz w:val="20"/>
          <w:szCs w:val="20"/>
        </w:rPr>
        <w:t>b</w:t>
      </w:r>
      <w:r w:rsidRPr="00B048D9">
        <w:rPr>
          <w:b/>
          <w:sz w:val="20"/>
          <w:szCs w:val="20"/>
        </w:rPr>
        <w:t xml:space="preserve">ütçesinden </w:t>
      </w:r>
      <w:r w:rsidR="00D73D31">
        <w:rPr>
          <w:b/>
          <w:sz w:val="20"/>
          <w:szCs w:val="20"/>
        </w:rPr>
        <w:t xml:space="preserve">de </w:t>
      </w:r>
      <w:r w:rsidRPr="00B048D9">
        <w:rPr>
          <w:b/>
          <w:sz w:val="20"/>
          <w:szCs w:val="20"/>
        </w:rPr>
        <w:t>fazla</w:t>
      </w:r>
      <w:r w:rsidR="001806F1">
        <w:rPr>
          <w:b/>
          <w:sz w:val="20"/>
          <w:szCs w:val="20"/>
        </w:rPr>
        <w:t>dır.</w:t>
      </w:r>
      <w:r w:rsidRPr="00B048D9">
        <w:rPr>
          <w:b/>
          <w:sz w:val="20"/>
          <w:szCs w:val="20"/>
        </w:rPr>
        <w:t xml:space="preserve"> </w:t>
      </w:r>
      <w:r>
        <w:rPr>
          <w:sz w:val="20"/>
          <w:szCs w:val="20"/>
        </w:rPr>
        <w:t xml:space="preserve">İktidarı uyarıyoruz. </w:t>
      </w:r>
      <w:r w:rsidRPr="00022F00">
        <w:rPr>
          <w:sz w:val="20"/>
          <w:szCs w:val="20"/>
        </w:rPr>
        <w:t>Bu gidiş pek hayra alamet değil. Ama</w:t>
      </w:r>
      <w:r w:rsidR="00231966">
        <w:rPr>
          <w:sz w:val="20"/>
          <w:szCs w:val="20"/>
        </w:rPr>
        <w:t>,</w:t>
      </w:r>
      <w:r w:rsidRPr="00022F00">
        <w:rPr>
          <w:sz w:val="20"/>
          <w:szCs w:val="20"/>
        </w:rPr>
        <w:t xml:space="preserve"> biz inşallah önümüzdeki yıllarda Türk ekonomisi iktidarın beklentisinden daha iyi olur diyoruz. </w:t>
      </w:r>
    </w:p>
    <w:p w:rsidR="002539CC" w:rsidRDefault="002539CC" w:rsidP="002539CC">
      <w:pPr>
        <w:pStyle w:val="ListeParagraf"/>
        <w:tabs>
          <w:tab w:val="left" w:pos="709"/>
          <w:tab w:val="left" w:pos="993"/>
          <w:tab w:val="left" w:pos="3828"/>
          <w:tab w:val="left" w:pos="4253"/>
        </w:tabs>
        <w:ind w:left="0"/>
        <w:jc w:val="both"/>
        <w:rPr>
          <w:sz w:val="20"/>
          <w:szCs w:val="20"/>
        </w:rPr>
      </w:pPr>
    </w:p>
    <w:p w:rsidR="00EE1119" w:rsidRDefault="002539CC" w:rsidP="00796A86">
      <w:pPr>
        <w:pStyle w:val="ListeParagraf"/>
        <w:tabs>
          <w:tab w:val="left" w:pos="709"/>
          <w:tab w:val="left" w:pos="3828"/>
          <w:tab w:val="left" w:pos="4253"/>
        </w:tabs>
        <w:spacing w:line="360" w:lineRule="auto"/>
        <w:ind w:left="0" w:firstLine="709"/>
        <w:jc w:val="both"/>
        <w:rPr>
          <w:b/>
          <w:sz w:val="20"/>
          <w:szCs w:val="20"/>
        </w:rPr>
      </w:pPr>
      <w:r w:rsidRPr="007D3AC3">
        <w:rPr>
          <w:b/>
          <w:sz w:val="20"/>
          <w:szCs w:val="20"/>
        </w:rPr>
        <w:t>Bütçe Dengesi</w:t>
      </w:r>
      <w:r w:rsidR="000C17C5">
        <w:rPr>
          <w:b/>
          <w:sz w:val="20"/>
          <w:szCs w:val="20"/>
        </w:rPr>
        <w:t>: 2018 yılı</w:t>
      </w:r>
      <w:r w:rsidR="00796A86">
        <w:rPr>
          <w:b/>
          <w:sz w:val="20"/>
          <w:szCs w:val="20"/>
        </w:rPr>
        <w:t>nın</w:t>
      </w:r>
      <w:r w:rsidR="000C17C5">
        <w:rPr>
          <w:b/>
          <w:sz w:val="20"/>
          <w:szCs w:val="20"/>
        </w:rPr>
        <w:t xml:space="preserve"> </w:t>
      </w:r>
      <w:r w:rsidR="00E7776E">
        <w:rPr>
          <w:b/>
          <w:sz w:val="20"/>
          <w:szCs w:val="20"/>
        </w:rPr>
        <w:t xml:space="preserve">ilk dört ayında bütçe açığı </w:t>
      </w:r>
      <w:r w:rsidR="00957058">
        <w:rPr>
          <w:b/>
          <w:sz w:val="20"/>
          <w:szCs w:val="20"/>
        </w:rPr>
        <w:t>2</w:t>
      </w:r>
      <w:r w:rsidR="00E7776E">
        <w:rPr>
          <w:b/>
          <w:sz w:val="20"/>
          <w:szCs w:val="20"/>
        </w:rPr>
        <w:t>3</w:t>
      </w:r>
      <w:r w:rsidR="00957058">
        <w:rPr>
          <w:b/>
          <w:sz w:val="20"/>
          <w:szCs w:val="20"/>
        </w:rPr>
        <w:t>.</w:t>
      </w:r>
      <w:r w:rsidR="00E7776E">
        <w:rPr>
          <w:b/>
          <w:sz w:val="20"/>
          <w:szCs w:val="20"/>
        </w:rPr>
        <w:t>2</w:t>
      </w:r>
      <w:r w:rsidR="00796A86">
        <w:rPr>
          <w:b/>
          <w:sz w:val="20"/>
          <w:szCs w:val="20"/>
        </w:rPr>
        <w:t xml:space="preserve"> </w:t>
      </w:r>
      <w:r w:rsidR="000C17C5">
        <w:rPr>
          <w:b/>
          <w:sz w:val="20"/>
          <w:szCs w:val="20"/>
        </w:rPr>
        <w:t>milyar TL</w:t>
      </w:r>
      <w:r w:rsidR="00E7776E">
        <w:rPr>
          <w:b/>
          <w:sz w:val="20"/>
          <w:szCs w:val="20"/>
        </w:rPr>
        <w:t>’dir.</w:t>
      </w:r>
      <w:r w:rsidR="000C17C5">
        <w:rPr>
          <w:b/>
          <w:sz w:val="20"/>
          <w:szCs w:val="20"/>
        </w:rPr>
        <w:t xml:space="preserve"> </w:t>
      </w:r>
      <w:r w:rsidR="00796A86">
        <w:rPr>
          <w:b/>
          <w:sz w:val="20"/>
          <w:szCs w:val="20"/>
        </w:rPr>
        <w:t>Y</w:t>
      </w:r>
      <w:r w:rsidR="000C17C5">
        <w:rPr>
          <w:b/>
          <w:sz w:val="20"/>
          <w:szCs w:val="20"/>
        </w:rPr>
        <w:t xml:space="preserve">ılın tamamındaki </w:t>
      </w:r>
      <w:r w:rsidRPr="007C1B32">
        <w:rPr>
          <w:b/>
          <w:sz w:val="20"/>
          <w:szCs w:val="20"/>
        </w:rPr>
        <w:t>bütçe açığı 65.9 milyar TL</w:t>
      </w:r>
      <w:r w:rsidR="005913D1">
        <w:rPr>
          <w:b/>
          <w:sz w:val="20"/>
          <w:szCs w:val="20"/>
        </w:rPr>
        <w:t xml:space="preserve"> olarak hedeflenmiştir. </w:t>
      </w:r>
      <w:r w:rsidR="008E651F" w:rsidRPr="00D1535C">
        <w:rPr>
          <w:sz w:val="20"/>
          <w:szCs w:val="20"/>
        </w:rPr>
        <w:t>Bilindiği gibi</w:t>
      </w:r>
      <w:r w:rsidR="00FB6843">
        <w:rPr>
          <w:sz w:val="20"/>
          <w:szCs w:val="20"/>
        </w:rPr>
        <w:t>,</w:t>
      </w:r>
      <w:r w:rsidR="008E651F" w:rsidRPr="00D1535C">
        <w:rPr>
          <w:sz w:val="20"/>
          <w:szCs w:val="20"/>
        </w:rPr>
        <w:t xml:space="preserve"> 24 Haziran 2018’de </w:t>
      </w:r>
      <w:r w:rsidR="00E7776E">
        <w:rPr>
          <w:sz w:val="20"/>
          <w:szCs w:val="20"/>
        </w:rPr>
        <w:t xml:space="preserve">yapılacak </w:t>
      </w:r>
      <w:r w:rsidR="008E651F" w:rsidRPr="00D1535C">
        <w:rPr>
          <w:sz w:val="20"/>
          <w:szCs w:val="20"/>
        </w:rPr>
        <w:t xml:space="preserve">Cumhurbaşkanlığı ve Milletvekili seçimleri </w:t>
      </w:r>
      <w:r w:rsidR="00E7776E">
        <w:rPr>
          <w:sz w:val="20"/>
          <w:szCs w:val="20"/>
        </w:rPr>
        <w:t xml:space="preserve">için iktidar kesenin ağzını açtı. Bir diğer ifade ile </w:t>
      </w:r>
      <w:r w:rsidR="008E651F" w:rsidRPr="00D1535C">
        <w:rPr>
          <w:sz w:val="20"/>
          <w:szCs w:val="20"/>
        </w:rPr>
        <w:t>AK Parti iktidarı seçim ekonomisi uygulama</w:t>
      </w:r>
      <w:r w:rsidR="00E7776E">
        <w:rPr>
          <w:sz w:val="20"/>
          <w:szCs w:val="20"/>
        </w:rPr>
        <w:t>ya başladı. B</w:t>
      </w:r>
      <w:r w:rsidR="008E651F" w:rsidRPr="00D1535C">
        <w:rPr>
          <w:sz w:val="20"/>
          <w:szCs w:val="20"/>
        </w:rPr>
        <w:t xml:space="preserve">u </w:t>
      </w:r>
      <w:r w:rsidR="00E7776E">
        <w:rPr>
          <w:sz w:val="20"/>
          <w:szCs w:val="20"/>
        </w:rPr>
        <w:t xml:space="preserve">durum </w:t>
      </w:r>
      <w:r w:rsidR="008E651F" w:rsidRPr="00D1535C">
        <w:rPr>
          <w:sz w:val="20"/>
          <w:szCs w:val="20"/>
        </w:rPr>
        <w:t>bütçe açığını daha da artır</w:t>
      </w:r>
      <w:r w:rsidR="00E7776E">
        <w:rPr>
          <w:sz w:val="20"/>
          <w:szCs w:val="20"/>
        </w:rPr>
        <w:t xml:space="preserve">acaktır ve zaten bozuk olan bütçe dengesi daha da bozulacaktır. </w:t>
      </w:r>
      <w:r w:rsidR="008E651F">
        <w:rPr>
          <w:b/>
          <w:sz w:val="20"/>
          <w:szCs w:val="20"/>
        </w:rPr>
        <w:t xml:space="preserve">Öyle ki </w:t>
      </w:r>
      <w:r w:rsidR="00001376">
        <w:rPr>
          <w:b/>
          <w:sz w:val="20"/>
          <w:szCs w:val="20"/>
        </w:rPr>
        <w:t xml:space="preserve">seçim sonrası iktidara geldiğimizde </w:t>
      </w:r>
      <w:r w:rsidR="008E651F">
        <w:rPr>
          <w:b/>
          <w:sz w:val="20"/>
          <w:szCs w:val="20"/>
        </w:rPr>
        <w:t>Saadet Partisi olarak biz bile bozuk olan ekonomik dengeleri düzeltmekte zorluk çeke</w:t>
      </w:r>
      <w:r w:rsidR="00FB6843">
        <w:rPr>
          <w:b/>
          <w:sz w:val="20"/>
          <w:szCs w:val="20"/>
        </w:rPr>
        <w:t>ceğiz.</w:t>
      </w:r>
    </w:p>
    <w:p w:rsidR="009825A1" w:rsidRDefault="009825A1" w:rsidP="00796A86">
      <w:pPr>
        <w:pStyle w:val="ListeParagraf"/>
        <w:tabs>
          <w:tab w:val="left" w:pos="709"/>
          <w:tab w:val="left" w:pos="3828"/>
          <w:tab w:val="left" w:pos="4253"/>
        </w:tabs>
        <w:spacing w:line="360" w:lineRule="auto"/>
        <w:ind w:left="0" w:firstLine="709"/>
        <w:jc w:val="both"/>
        <w:rPr>
          <w:b/>
          <w:sz w:val="20"/>
          <w:szCs w:val="20"/>
        </w:rPr>
      </w:pPr>
    </w:p>
    <w:p w:rsidR="009825A1" w:rsidRDefault="009825A1" w:rsidP="00796A86">
      <w:pPr>
        <w:pStyle w:val="ListeParagraf"/>
        <w:tabs>
          <w:tab w:val="left" w:pos="709"/>
          <w:tab w:val="left" w:pos="3828"/>
          <w:tab w:val="left" w:pos="4253"/>
        </w:tabs>
        <w:spacing w:line="360" w:lineRule="auto"/>
        <w:ind w:left="0" w:firstLine="709"/>
        <w:jc w:val="both"/>
        <w:rPr>
          <w:b/>
        </w:rPr>
      </w:pPr>
    </w:p>
    <w:p w:rsidR="007F2D6B" w:rsidRPr="007F2D6B" w:rsidRDefault="00EE1119" w:rsidP="00E714BB">
      <w:pPr>
        <w:pStyle w:val="Bodytext0"/>
        <w:shd w:val="clear" w:color="auto" w:fill="auto"/>
        <w:tabs>
          <w:tab w:val="left" w:pos="284"/>
          <w:tab w:val="left" w:pos="993"/>
        </w:tabs>
        <w:spacing w:before="0" w:after="184" w:line="240" w:lineRule="auto"/>
        <w:jc w:val="both"/>
        <w:rPr>
          <w:rFonts w:ascii="Arial" w:hAnsi="Arial" w:cs="Arial"/>
          <w:b/>
          <w:sz w:val="22"/>
          <w:szCs w:val="22"/>
        </w:rPr>
      </w:pPr>
      <w:r>
        <w:rPr>
          <w:b/>
        </w:rPr>
        <w:t xml:space="preserve">                                                                                                                                   </w:t>
      </w:r>
      <w:r w:rsidR="00B1149B">
        <w:rPr>
          <w:b/>
        </w:rPr>
        <w:t xml:space="preserve"> </w:t>
      </w:r>
      <w:r w:rsidR="00A41E7F">
        <w:rPr>
          <w:b/>
        </w:rPr>
        <w:t xml:space="preserve"> </w:t>
      </w:r>
      <w:r w:rsidR="00B1149B">
        <w:rPr>
          <w:b/>
        </w:rPr>
        <w:t xml:space="preserve"> </w:t>
      </w:r>
      <w:r w:rsidR="007F2D6B" w:rsidRPr="007F2D6B">
        <w:rPr>
          <w:rFonts w:ascii="Arial" w:hAnsi="Arial" w:cs="Arial"/>
          <w:b/>
          <w:sz w:val="22"/>
          <w:szCs w:val="22"/>
        </w:rPr>
        <w:t>Prof Dr. Latif ÖZTEK</w:t>
      </w:r>
    </w:p>
    <w:p w:rsidR="007F2D6B" w:rsidRPr="007F2D6B" w:rsidRDefault="007F2D6B" w:rsidP="007F2D6B">
      <w:pPr>
        <w:pStyle w:val="Bodytext0"/>
        <w:shd w:val="clear" w:color="auto" w:fill="auto"/>
        <w:tabs>
          <w:tab w:val="left" w:pos="284"/>
          <w:tab w:val="left" w:pos="993"/>
        </w:tabs>
        <w:spacing w:before="0" w:after="184" w:line="240" w:lineRule="auto"/>
        <w:jc w:val="both"/>
        <w:rPr>
          <w:rFonts w:ascii="Arial" w:hAnsi="Arial" w:cs="Arial"/>
          <w:b/>
          <w:sz w:val="22"/>
          <w:szCs w:val="22"/>
        </w:rPr>
      </w:pPr>
      <w:r w:rsidRPr="007F2D6B">
        <w:rPr>
          <w:rFonts w:ascii="Arial" w:hAnsi="Arial" w:cs="Arial"/>
          <w:b/>
          <w:sz w:val="22"/>
          <w:szCs w:val="22"/>
        </w:rPr>
        <w:t xml:space="preserve">                                                                                            </w:t>
      </w:r>
      <w:r w:rsidR="00B1149B">
        <w:rPr>
          <w:rFonts w:ascii="Arial" w:hAnsi="Arial" w:cs="Arial"/>
          <w:b/>
          <w:sz w:val="22"/>
          <w:szCs w:val="22"/>
        </w:rPr>
        <w:t xml:space="preserve"> </w:t>
      </w:r>
      <w:r w:rsidRPr="007F2D6B">
        <w:rPr>
          <w:rFonts w:ascii="Arial" w:hAnsi="Arial" w:cs="Arial"/>
          <w:b/>
          <w:sz w:val="22"/>
          <w:szCs w:val="22"/>
        </w:rPr>
        <w:t xml:space="preserve">             Genel Başkan Yardımcısı </w:t>
      </w:r>
    </w:p>
    <w:p w:rsidR="0041590F" w:rsidRDefault="007F2D6B" w:rsidP="00094237">
      <w:pPr>
        <w:pStyle w:val="Bodytext0"/>
        <w:shd w:val="clear" w:color="auto" w:fill="auto"/>
        <w:tabs>
          <w:tab w:val="left" w:pos="284"/>
          <w:tab w:val="left" w:pos="993"/>
        </w:tabs>
        <w:spacing w:before="0" w:after="184" w:line="240" w:lineRule="auto"/>
        <w:jc w:val="both"/>
        <w:rPr>
          <w:rFonts w:ascii="Arial" w:hAnsi="Arial" w:cs="Arial"/>
          <w:b/>
          <w:sz w:val="22"/>
          <w:szCs w:val="22"/>
        </w:rPr>
      </w:pPr>
      <w:r w:rsidRPr="007F2D6B">
        <w:rPr>
          <w:rFonts w:ascii="Arial" w:hAnsi="Arial" w:cs="Arial"/>
          <w:b/>
          <w:sz w:val="22"/>
          <w:szCs w:val="22"/>
        </w:rPr>
        <w:t xml:space="preserve">                                                                                                     </w:t>
      </w:r>
      <w:r w:rsidR="00B1149B">
        <w:rPr>
          <w:rFonts w:ascii="Arial" w:hAnsi="Arial" w:cs="Arial"/>
          <w:b/>
          <w:sz w:val="22"/>
          <w:szCs w:val="22"/>
        </w:rPr>
        <w:t xml:space="preserve"> </w:t>
      </w:r>
      <w:r w:rsidRPr="007F2D6B">
        <w:rPr>
          <w:rFonts w:ascii="Arial" w:hAnsi="Arial" w:cs="Arial"/>
          <w:b/>
          <w:sz w:val="22"/>
          <w:szCs w:val="22"/>
        </w:rPr>
        <w:t xml:space="preserve">      Ekonomik İşler Başkanı</w:t>
      </w:r>
    </w:p>
    <w:sectPr w:rsidR="0041590F" w:rsidSect="0090748D">
      <w:footerReference w:type="default" r:id="rId11"/>
      <w:pgSz w:w="11906" w:h="16838"/>
      <w:pgMar w:top="993" w:right="991" w:bottom="28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CEF" w:rsidRDefault="002B4CEF" w:rsidP="000D569A">
      <w:r>
        <w:separator/>
      </w:r>
    </w:p>
  </w:endnote>
  <w:endnote w:type="continuationSeparator" w:id="1">
    <w:p w:rsidR="002B4CEF" w:rsidRDefault="002B4CEF" w:rsidP="000D56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49627"/>
      <w:docPartObj>
        <w:docPartGallery w:val="Page Numbers (Bottom of Page)"/>
        <w:docPartUnique/>
      </w:docPartObj>
    </w:sdtPr>
    <w:sdtContent>
      <w:p w:rsidR="00764302" w:rsidRDefault="0052163B">
        <w:pPr>
          <w:pStyle w:val="Altbilgi"/>
          <w:jc w:val="right"/>
        </w:pPr>
        <w:fldSimple w:instr=" PAGE   \* MERGEFORMAT ">
          <w:r w:rsidR="00C34A8D">
            <w:rPr>
              <w:noProof/>
            </w:rPr>
            <w:t>8</w:t>
          </w:r>
        </w:fldSimple>
      </w:p>
    </w:sdtContent>
  </w:sdt>
  <w:p w:rsidR="00764302" w:rsidRDefault="0076430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CEF" w:rsidRDefault="002B4CEF" w:rsidP="000D569A">
      <w:r>
        <w:separator/>
      </w:r>
    </w:p>
  </w:footnote>
  <w:footnote w:type="continuationSeparator" w:id="1">
    <w:p w:rsidR="002B4CEF" w:rsidRDefault="002B4CEF" w:rsidP="000D56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074"/>
    <w:multiLevelType w:val="hybridMultilevel"/>
    <w:tmpl w:val="3704EE70"/>
    <w:lvl w:ilvl="0" w:tplc="438A8B8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nsid w:val="0C0F44BB"/>
    <w:multiLevelType w:val="hybridMultilevel"/>
    <w:tmpl w:val="5C4C5206"/>
    <w:lvl w:ilvl="0" w:tplc="C13CBF74">
      <w:start w:val="15"/>
      <w:numFmt w:val="bullet"/>
      <w:lvlText w:val="-"/>
      <w:lvlJc w:val="left"/>
      <w:pPr>
        <w:ind w:left="1211" w:hanging="360"/>
      </w:pPr>
      <w:rPr>
        <w:rFonts w:ascii="Arial" w:eastAsiaTheme="minorHAnsi" w:hAnsi="Arial" w:cs="Aria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2">
    <w:nsid w:val="3A8362C2"/>
    <w:multiLevelType w:val="hybridMultilevel"/>
    <w:tmpl w:val="ADAC1A16"/>
    <w:lvl w:ilvl="0" w:tplc="28D601AA">
      <w:start w:val="1"/>
      <w:numFmt w:val="decimal"/>
      <w:lvlText w:val="%1-"/>
      <w:lvlJc w:val="left"/>
      <w:pPr>
        <w:ind w:left="360"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nsid w:val="3E1F72B4"/>
    <w:multiLevelType w:val="hybridMultilevel"/>
    <w:tmpl w:val="ADAC1A16"/>
    <w:lvl w:ilvl="0" w:tplc="28D601AA">
      <w:start w:val="1"/>
      <w:numFmt w:val="decimal"/>
      <w:lvlText w:val="%1-"/>
      <w:lvlJc w:val="left"/>
      <w:pPr>
        <w:ind w:left="360"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nsid w:val="51D23F0E"/>
    <w:multiLevelType w:val="hybridMultilevel"/>
    <w:tmpl w:val="E578E268"/>
    <w:lvl w:ilvl="0" w:tplc="50C4D026">
      <w:start w:val="1"/>
      <w:numFmt w:val="decimal"/>
      <w:lvlText w:val="%1."/>
      <w:lvlJc w:val="left"/>
      <w:pPr>
        <w:ind w:left="705" w:hanging="360"/>
      </w:pPr>
      <w:rPr>
        <w:rFonts w:hint="default"/>
      </w:rPr>
    </w:lvl>
    <w:lvl w:ilvl="1" w:tplc="041F0019" w:tentative="1">
      <w:start w:val="1"/>
      <w:numFmt w:val="lowerLetter"/>
      <w:lvlText w:val="%2."/>
      <w:lvlJc w:val="left"/>
      <w:pPr>
        <w:ind w:left="1425" w:hanging="360"/>
      </w:pPr>
    </w:lvl>
    <w:lvl w:ilvl="2" w:tplc="041F001B" w:tentative="1">
      <w:start w:val="1"/>
      <w:numFmt w:val="lowerRoman"/>
      <w:lvlText w:val="%3."/>
      <w:lvlJc w:val="right"/>
      <w:pPr>
        <w:ind w:left="2145" w:hanging="180"/>
      </w:pPr>
    </w:lvl>
    <w:lvl w:ilvl="3" w:tplc="041F000F" w:tentative="1">
      <w:start w:val="1"/>
      <w:numFmt w:val="decimal"/>
      <w:lvlText w:val="%4."/>
      <w:lvlJc w:val="left"/>
      <w:pPr>
        <w:ind w:left="2865" w:hanging="360"/>
      </w:pPr>
    </w:lvl>
    <w:lvl w:ilvl="4" w:tplc="041F0019" w:tentative="1">
      <w:start w:val="1"/>
      <w:numFmt w:val="lowerLetter"/>
      <w:lvlText w:val="%5."/>
      <w:lvlJc w:val="left"/>
      <w:pPr>
        <w:ind w:left="3585" w:hanging="360"/>
      </w:pPr>
    </w:lvl>
    <w:lvl w:ilvl="5" w:tplc="041F001B" w:tentative="1">
      <w:start w:val="1"/>
      <w:numFmt w:val="lowerRoman"/>
      <w:lvlText w:val="%6."/>
      <w:lvlJc w:val="right"/>
      <w:pPr>
        <w:ind w:left="4305" w:hanging="180"/>
      </w:pPr>
    </w:lvl>
    <w:lvl w:ilvl="6" w:tplc="041F000F" w:tentative="1">
      <w:start w:val="1"/>
      <w:numFmt w:val="decimal"/>
      <w:lvlText w:val="%7."/>
      <w:lvlJc w:val="left"/>
      <w:pPr>
        <w:ind w:left="5025" w:hanging="360"/>
      </w:pPr>
    </w:lvl>
    <w:lvl w:ilvl="7" w:tplc="041F0019" w:tentative="1">
      <w:start w:val="1"/>
      <w:numFmt w:val="lowerLetter"/>
      <w:lvlText w:val="%8."/>
      <w:lvlJc w:val="left"/>
      <w:pPr>
        <w:ind w:left="5745" w:hanging="360"/>
      </w:pPr>
    </w:lvl>
    <w:lvl w:ilvl="8" w:tplc="041F001B" w:tentative="1">
      <w:start w:val="1"/>
      <w:numFmt w:val="lowerRoman"/>
      <w:lvlText w:val="%9."/>
      <w:lvlJc w:val="right"/>
      <w:pPr>
        <w:ind w:left="6465" w:hanging="180"/>
      </w:pPr>
    </w:lvl>
  </w:abstractNum>
  <w:abstractNum w:abstractNumId="5">
    <w:nsid w:val="5BF04C26"/>
    <w:multiLevelType w:val="hybridMultilevel"/>
    <w:tmpl w:val="620E3890"/>
    <w:lvl w:ilvl="0" w:tplc="588A0D3E">
      <w:start w:val="580"/>
      <w:numFmt w:val="bullet"/>
      <w:lvlText w:val=""/>
      <w:lvlJc w:val="left"/>
      <w:pPr>
        <w:ind w:left="1429" w:hanging="360"/>
      </w:pPr>
      <w:rPr>
        <w:rFonts w:ascii="Symbol" w:eastAsia="Times New Roman" w:hAnsi="Symbol" w:cs="Aria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
    <w:nsid w:val="7FF826C7"/>
    <w:multiLevelType w:val="hybridMultilevel"/>
    <w:tmpl w:val="069CD294"/>
    <w:lvl w:ilvl="0" w:tplc="C3982000">
      <w:start w:val="15"/>
      <w:numFmt w:val="bullet"/>
      <w:lvlText w:val="-"/>
      <w:lvlJc w:val="left"/>
      <w:pPr>
        <w:ind w:left="1068" w:hanging="360"/>
      </w:pPr>
      <w:rPr>
        <w:rFonts w:ascii="Arial" w:eastAsiaTheme="minorHAnsi" w:hAnsi="Arial" w:cs="Aria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2"/>
  </w:num>
  <w:num w:numId="2">
    <w:abstractNumId w:val="5"/>
  </w:num>
  <w:num w:numId="3">
    <w:abstractNumId w:val="1"/>
  </w:num>
  <w:num w:numId="4">
    <w:abstractNumId w:val="6"/>
  </w:num>
  <w:num w:numId="5">
    <w:abstractNumId w:val="4"/>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36546"/>
  </w:hdrShapeDefaults>
  <w:footnotePr>
    <w:footnote w:id="0"/>
    <w:footnote w:id="1"/>
  </w:footnotePr>
  <w:endnotePr>
    <w:endnote w:id="0"/>
    <w:endnote w:id="1"/>
  </w:endnotePr>
  <w:compat/>
  <w:rsids>
    <w:rsidRoot w:val="00016894"/>
    <w:rsid w:val="00001376"/>
    <w:rsid w:val="00007B15"/>
    <w:rsid w:val="0001263D"/>
    <w:rsid w:val="00014DFE"/>
    <w:rsid w:val="00016433"/>
    <w:rsid w:val="00016894"/>
    <w:rsid w:val="00020705"/>
    <w:rsid w:val="000214CC"/>
    <w:rsid w:val="00022E10"/>
    <w:rsid w:val="00022F00"/>
    <w:rsid w:val="00031F11"/>
    <w:rsid w:val="00033B8E"/>
    <w:rsid w:val="000350DB"/>
    <w:rsid w:val="000359B0"/>
    <w:rsid w:val="00036238"/>
    <w:rsid w:val="00036FC8"/>
    <w:rsid w:val="0004267F"/>
    <w:rsid w:val="00042777"/>
    <w:rsid w:val="00047DE8"/>
    <w:rsid w:val="00050A4A"/>
    <w:rsid w:val="0005257E"/>
    <w:rsid w:val="0005525C"/>
    <w:rsid w:val="00056DCD"/>
    <w:rsid w:val="000579BE"/>
    <w:rsid w:val="00065CD5"/>
    <w:rsid w:val="00067163"/>
    <w:rsid w:val="0007154C"/>
    <w:rsid w:val="0007203D"/>
    <w:rsid w:val="00072357"/>
    <w:rsid w:val="00073FAC"/>
    <w:rsid w:val="00076274"/>
    <w:rsid w:val="0008452B"/>
    <w:rsid w:val="0008542E"/>
    <w:rsid w:val="000862DC"/>
    <w:rsid w:val="00086C19"/>
    <w:rsid w:val="00087FD4"/>
    <w:rsid w:val="00090FEC"/>
    <w:rsid w:val="000934B5"/>
    <w:rsid w:val="00094237"/>
    <w:rsid w:val="00095317"/>
    <w:rsid w:val="00096FA2"/>
    <w:rsid w:val="000A12E2"/>
    <w:rsid w:val="000A59F2"/>
    <w:rsid w:val="000A6030"/>
    <w:rsid w:val="000A7D77"/>
    <w:rsid w:val="000B3EDD"/>
    <w:rsid w:val="000B784F"/>
    <w:rsid w:val="000C0A5C"/>
    <w:rsid w:val="000C17C5"/>
    <w:rsid w:val="000C1C95"/>
    <w:rsid w:val="000C3826"/>
    <w:rsid w:val="000C4893"/>
    <w:rsid w:val="000C5165"/>
    <w:rsid w:val="000D222D"/>
    <w:rsid w:val="000D2E0B"/>
    <w:rsid w:val="000D3C35"/>
    <w:rsid w:val="000D42BA"/>
    <w:rsid w:val="000D4ED8"/>
    <w:rsid w:val="000D50AD"/>
    <w:rsid w:val="000D569A"/>
    <w:rsid w:val="000D5966"/>
    <w:rsid w:val="000E1192"/>
    <w:rsid w:val="000E1BD5"/>
    <w:rsid w:val="000E468A"/>
    <w:rsid w:val="000E5261"/>
    <w:rsid w:val="000E67B4"/>
    <w:rsid w:val="000E70E8"/>
    <w:rsid w:val="000E764A"/>
    <w:rsid w:val="000F0D67"/>
    <w:rsid w:val="000F185C"/>
    <w:rsid w:val="000F1D5B"/>
    <w:rsid w:val="000F69FA"/>
    <w:rsid w:val="00100298"/>
    <w:rsid w:val="0010077C"/>
    <w:rsid w:val="00102133"/>
    <w:rsid w:val="001033A1"/>
    <w:rsid w:val="00103F53"/>
    <w:rsid w:val="001048AE"/>
    <w:rsid w:val="00105FA8"/>
    <w:rsid w:val="00111EC7"/>
    <w:rsid w:val="00113E5E"/>
    <w:rsid w:val="00114449"/>
    <w:rsid w:val="00114E7F"/>
    <w:rsid w:val="0012122F"/>
    <w:rsid w:val="0012416B"/>
    <w:rsid w:val="00136D76"/>
    <w:rsid w:val="00140177"/>
    <w:rsid w:val="00140A2A"/>
    <w:rsid w:val="00140E94"/>
    <w:rsid w:val="001414A0"/>
    <w:rsid w:val="00141CA5"/>
    <w:rsid w:val="00142332"/>
    <w:rsid w:val="0014684A"/>
    <w:rsid w:val="00146CF2"/>
    <w:rsid w:val="001474D7"/>
    <w:rsid w:val="00151CB2"/>
    <w:rsid w:val="00152AB1"/>
    <w:rsid w:val="00156BBC"/>
    <w:rsid w:val="00156FCB"/>
    <w:rsid w:val="001639B8"/>
    <w:rsid w:val="0016415A"/>
    <w:rsid w:val="001649D6"/>
    <w:rsid w:val="00165944"/>
    <w:rsid w:val="0016670B"/>
    <w:rsid w:val="00166AF7"/>
    <w:rsid w:val="0017014C"/>
    <w:rsid w:val="00170C9B"/>
    <w:rsid w:val="00170D88"/>
    <w:rsid w:val="00171AC7"/>
    <w:rsid w:val="00172F30"/>
    <w:rsid w:val="001734FD"/>
    <w:rsid w:val="00175AC5"/>
    <w:rsid w:val="0017629A"/>
    <w:rsid w:val="001779F3"/>
    <w:rsid w:val="00177C92"/>
    <w:rsid w:val="001806F1"/>
    <w:rsid w:val="0018170A"/>
    <w:rsid w:val="00184E16"/>
    <w:rsid w:val="001852EB"/>
    <w:rsid w:val="00186062"/>
    <w:rsid w:val="0018628F"/>
    <w:rsid w:val="00191781"/>
    <w:rsid w:val="00193FC5"/>
    <w:rsid w:val="00195489"/>
    <w:rsid w:val="0019696C"/>
    <w:rsid w:val="0019791F"/>
    <w:rsid w:val="00197FDE"/>
    <w:rsid w:val="001A35B0"/>
    <w:rsid w:val="001A69A3"/>
    <w:rsid w:val="001A7B86"/>
    <w:rsid w:val="001B51EC"/>
    <w:rsid w:val="001B5ADC"/>
    <w:rsid w:val="001C0786"/>
    <w:rsid w:val="001C3F33"/>
    <w:rsid w:val="001C612B"/>
    <w:rsid w:val="001C6DF9"/>
    <w:rsid w:val="001C7AB9"/>
    <w:rsid w:val="001D33CD"/>
    <w:rsid w:val="001D37FF"/>
    <w:rsid w:val="001D4A6F"/>
    <w:rsid w:val="001D538B"/>
    <w:rsid w:val="001D59E0"/>
    <w:rsid w:val="001D5F21"/>
    <w:rsid w:val="001D68AC"/>
    <w:rsid w:val="001D68AF"/>
    <w:rsid w:val="001D7475"/>
    <w:rsid w:val="001E0ADC"/>
    <w:rsid w:val="001E1476"/>
    <w:rsid w:val="001E23C1"/>
    <w:rsid w:val="001E31BD"/>
    <w:rsid w:val="001E4D81"/>
    <w:rsid w:val="001F0ACA"/>
    <w:rsid w:val="001F1C7B"/>
    <w:rsid w:val="001F2DD8"/>
    <w:rsid w:val="001F42A8"/>
    <w:rsid w:val="001F52EB"/>
    <w:rsid w:val="001F7F74"/>
    <w:rsid w:val="0020237D"/>
    <w:rsid w:val="00203920"/>
    <w:rsid w:val="0020519F"/>
    <w:rsid w:val="00206CFF"/>
    <w:rsid w:val="00210FFC"/>
    <w:rsid w:val="00213C30"/>
    <w:rsid w:val="0021644F"/>
    <w:rsid w:val="002178E2"/>
    <w:rsid w:val="00217977"/>
    <w:rsid w:val="00220A32"/>
    <w:rsid w:val="00222044"/>
    <w:rsid w:val="00222430"/>
    <w:rsid w:val="00222ED3"/>
    <w:rsid w:val="00223928"/>
    <w:rsid w:val="00231966"/>
    <w:rsid w:val="002324C3"/>
    <w:rsid w:val="00233AB0"/>
    <w:rsid w:val="00234324"/>
    <w:rsid w:val="002359E0"/>
    <w:rsid w:val="00235DD2"/>
    <w:rsid w:val="00235F0C"/>
    <w:rsid w:val="00240B5B"/>
    <w:rsid w:val="00242739"/>
    <w:rsid w:val="00242D63"/>
    <w:rsid w:val="00247ADC"/>
    <w:rsid w:val="00247AFB"/>
    <w:rsid w:val="0025100C"/>
    <w:rsid w:val="00251BE5"/>
    <w:rsid w:val="00251F9C"/>
    <w:rsid w:val="002539CC"/>
    <w:rsid w:val="00255B87"/>
    <w:rsid w:val="00256C0E"/>
    <w:rsid w:val="00257C1D"/>
    <w:rsid w:val="00257E8D"/>
    <w:rsid w:val="00260DEE"/>
    <w:rsid w:val="0026253F"/>
    <w:rsid w:val="00264D6A"/>
    <w:rsid w:val="00266E37"/>
    <w:rsid w:val="00267154"/>
    <w:rsid w:val="00267F13"/>
    <w:rsid w:val="00270847"/>
    <w:rsid w:val="00270CD2"/>
    <w:rsid w:val="002742FD"/>
    <w:rsid w:val="002746A7"/>
    <w:rsid w:val="00274A36"/>
    <w:rsid w:val="0027675F"/>
    <w:rsid w:val="00280609"/>
    <w:rsid w:val="0028061E"/>
    <w:rsid w:val="0028295C"/>
    <w:rsid w:val="00284182"/>
    <w:rsid w:val="00285081"/>
    <w:rsid w:val="002869A5"/>
    <w:rsid w:val="00290CA5"/>
    <w:rsid w:val="00292D5D"/>
    <w:rsid w:val="00294157"/>
    <w:rsid w:val="002A00F8"/>
    <w:rsid w:val="002A1828"/>
    <w:rsid w:val="002A3F59"/>
    <w:rsid w:val="002A5823"/>
    <w:rsid w:val="002A67DF"/>
    <w:rsid w:val="002B27BE"/>
    <w:rsid w:val="002B37D8"/>
    <w:rsid w:val="002B4CEF"/>
    <w:rsid w:val="002B4E8D"/>
    <w:rsid w:val="002B5711"/>
    <w:rsid w:val="002B7988"/>
    <w:rsid w:val="002C2FFF"/>
    <w:rsid w:val="002C51A7"/>
    <w:rsid w:val="002D2AC4"/>
    <w:rsid w:val="002D5B56"/>
    <w:rsid w:val="002D6852"/>
    <w:rsid w:val="002D772F"/>
    <w:rsid w:val="002E00F4"/>
    <w:rsid w:val="002E045C"/>
    <w:rsid w:val="002E1060"/>
    <w:rsid w:val="002E2502"/>
    <w:rsid w:val="002E3B45"/>
    <w:rsid w:val="002E66C9"/>
    <w:rsid w:val="002E6F21"/>
    <w:rsid w:val="002E792E"/>
    <w:rsid w:val="002F10D3"/>
    <w:rsid w:val="002F12EB"/>
    <w:rsid w:val="002F2BA3"/>
    <w:rsid w:val="002F2C3A"/>
    <w:rsid w:val="002F3F5E"/>
    <w:rsid w:val="002F3F88"/>
    <w:rsid w:val="002F48EE"/>
    <w:rsid w:val="002F4A5A"/>
    <w:rsid w:val="002F65D8"/>
    <w:rsid w:val="002F6B64"/>
    <w:rsid w:val="00300EE7"/>
    <w:rsid w:val="0030297B"/>
    <w:rsid w:val="003044A4"/>
    <w:rsid w:val="00310B58"/>
    <w:rsid w:val="00312A1C"/>
    <w:rsid w:val="003130AB"/>
    <w:rsid w:val="003147FD"/>
    <w:rsid w:val="0031480A"/>
    <w:rsid w:val="00315C9D"/>
    <w:rsid w:val="00317D84"/>
    <w:rsid w:val="003242FB"/>
    <w:rsid w:val="0032482C"/>
    <w:rsid w:val="00325F35"/>
    <w:rsid w:val="003268BB"/>
    <w:rsid w:val="00330E4A"/>
    <w:rsid w:val="003311AC"/>
    <w:rsid w:val="003315E1"/>
    <w:rsid w:val="003320C2"/>
    <w:rsid w:val="00341D40"/>
    <w:rsid w:val="00351815"/>
    <w:rsid w:val="00352C21"/>
    <w:rsid w:val="00354AA2"/>
    <w:rsid w:val="00357054"/>
    <w:rsid w:val="00357892"/>
    <w:rsid w:val="00360E25"/>
    <w:rsid w:val="00363028"/>
    <w:rsid w:val="00367D39"/>
    <w:rsid w:val="003703BB"/>
    <w:rsid w:val="00370693"/>
    <w:rsid w:val="003714EF"/>
    <w:rsid w:val="003726FC"/>
    <w:rsid w:val="00374780"/>
    <w:rsid w:val="00376BA1"/>
    <w:rsid w:val="0037705C"/>
    <w:rsid w:val="00377D8E"/>
    <w:rsid w:val="003863CF"/>
    <w:rsid w:val="00390483"/>
    <w:rsid w:val="0039311D"/>
    <w:rsid w:val="00396991"/>
    <w:rsid w:val="00397229"/>
    <w:rsid w:val="003A02C9"/>
    <w:rsid w:val="003A68F1"/>
    <w:rsid w:val="003A69CF"/>
    <w:rsid w:val="003B0306"/>
    <w:rsid w:val="003B5750"/>
    <w:rsid w:val="003B7371"/>
    <w:rsid w:val="003B76DD"/>
    <w:rsid w:val="003C1216"/>
    <w:rsid w:val="003C54CD"/>
    <w:rsid w:val="003C5B6E"/>
    <w:rsid w:val="003C6231"/>
    <w:rsid w:val="003C6DF2"/>
    <w:rsid w:val="003E29B2"/>
    <w:rsid w:val="003E7964"/>
    <w:rsid w:val="003F08A9"/>
    <w:rsid w:val="003F1F38"/>
    <w:rsid w:val="003F4165"/>
    <w:rsid w:val="004011E1"/>
    <w:rsid w:val="004013ED"/>
    <w:rsid w:val="004014D4"/>
    <w:rsid w:val="00401783"/>
    <w:rsid w:val="00405E01"/>
    <w:rsid w:val="004076BD"/>
    <w:rsid w:val="00411391"/>
    <w:rsid w:val="00413740"/>
    <w:rsid w:val="0041590F"/>
    <w:rsid w:val="00415C65"/>
    <w:rsid w:val="00415DE6"/>
    <w:rsid w:val="00417E3A"/>
    <w:rsid w:val="0042258B"/>
    <w:rsid w:val="00423AF1"/>
    <w:rsid w:val="00424B3B"/>
    <w:rsid w:val="0042573A"/>
    <w:rsid w:val="00427FEE"/>
    <w:rsid w:val="0043198B"/>
    <w:rsid w:val="00432223"/>
    <w:rsid w:val="004344E9"/>
    <w:rsid w:val="00441723"/>
    <w:rsid w:val="00444102"/>
    <w:rsid w:val="00445B73"/>
    <w:rsid w:val="00467B87"/>
    <w:rsid w:val="00471E3A"/>
    <w:rsid w:val="00472EB3"/>
    <w:rsid w:val="004760AE"/>
    <w:rsid w:val="0047687F"/>
    <w:rsid w:val="00480AEA"/>
    <w:rsid w:val="00480B4F"/>
    <w:rsid w:val="00482E7B"/>
    <w:rsid w:val="00482FF2"/>
    <w:rsid w:val="00483357"/>
    <w:rsid w:val="00491265"/>
    <w:rsid w:val="00495583"/>
    <w:rsid w:val="004A12AF"/>
    <w:rsid w:val="004A1EA3"/>
    <w:rsid w:val="004A2169"/>
    <w:rsid w:val="004A28B0"/>
    <w:rsid w:val="004A32F1"/>
    <w:rsid w:val="004A3E90"/>
    <w:rsid w:val="004A6429"/>
    <w:rsid w:val="004A7111"/>
    <w:rsid w:val="004B24C3"/>
    <w:rsid w:val="004B37AB"/>
    <w:rsid w:val="004B4CD8"/>
    <w:rsid w:val="004B4D6A"/>
    <w:rsid w:val="004B5F20"/>
    <w:rsid w:val="004B68ED"/>
    <w:rsid w:val="004C358D"/>
    <w:rsid w:val="004C441B"/>
    <w:rsid w:val="004C5305"/>
    <w:rsid w:val="004C5B2B"/>
    <w:rsid w:val="004C7225"/>
    <w:rsid w:val="004D09E8"/>
    <w:rsid w:val="004D20E5"/>
    <w:rsid w:val="004D2E25"/>
    <w:rsid w:val="004D301F"/>
    <w:rsid w:val="004D3231"/>
    <w:rsid w:val="004D3805"/>
    <w:rsid w:val="004D6EA2"/>
    <w:rsid w:val="004D7DD7"/>
    <w:rsid w:val="004E32DC"/>
    <w:rsid w:val="004E47D9"/>
    <w:rsid w:val="004F0FF4"/>
    <w:rsid w:val="004F1788"/>
    <w:rsid w:val="004F1F58"/>
    <w:rsid w:val="004F40A1"/>
    <w:rsid w:val="004F5DB1"/>
    <w:rsid w:val="00500D4C"/>
    <w:rsid w:val="00500FF9"/>
    <w:rsid w:val="00503614"/>
    <w:rsid w:val="00503C1A"/>
    <w:rsid w:val="00505E38"/>
    <w:rsid w:val="00510A78"/>
    <w:rsid w:val="00512B70"/>
    <w:rsid w:val="00512D7F"/>
    <w:rsid w:val="00513384"/>
    <w:rsid w:val="00513535"/>
    <w:rsid w:val="00513C97"/>
    <w:rsid w:val="0051796F"/>
    <w:rsid w:val="00517CD1"/>
    <w:rsid w:val="0052163B"/>
    <w:rsid w:val="00521D6A"/>
    <w:rsid w:val="0052575C"/>
    <w:rsid w:val="00527282"/>
    <w:rsid w:val="005317B4"/>
    <w:rsid w:val="00534D7D"/>
    <w:rsid w:val="00537ABD"/>
    <w:rsid w:val="005458C6"/>
    <w:rsid w:val="00546A8C"/>
    <w:rsid w:val="005474C8"/>
    <w:rsid w:val="00551F1A"/>
    <w:rsid w:val="00552E0C"/>
    <w:rsid w:val="00554ECC"/>
    <w:rsid w:val="00555786"/>
    <w:rsid w:val="00555CF8"/>
    <w:rsid w:val="00556047"/>
    <w:rsid w:val="0055680A"/>
    <w:rsid w:val="00561230"/>
    <w:rsid w:val="00561D0C"/>
    <w:rsid w:val="00562596"/>
    <w:rsid w:val="00564A0C"/>
    <w:rsid w:val="00564F4D"/>
    <w:rsid w:val="0056693F"/>
    <w:rsid w:val="005732C8"/>
    <w:rsid w:val="005733E8"/>
    <w:rsid w:val="00574A33"/>
    <w:rsid w:val="00587FBF"/>
    <w:rsid w:val="00590830"/>
    <w:rsid w:val="00590B02"/>
    <w:rsid w:val="005913D1"/>
    <w:rsid w:val="0059264A"/>
    <w:rsid w:val="00592798"/>
    <w:rsid w:val="00593D55"/>
    <w:rsid w:val="005945DC"/>
    <w:rsid w:val="0059776A"/>
    <w:rsid w:val="005A2DD9"/>
    <w:rsid w:val="005A2F6B"/>
    <w:rsid w:val="005A3407"/>
    <w:rsid w:val="005A7602"/>
    <w:rsid w:val="005B19D5"/>
    <w:rsid w:val="005B23CE"/>
    <w:rsid w:val="005C01DE"/>
    <w:rsid w:val="005C3479"/>
    <w:rsid w:val="005C452E"/>
    <w:rsid w:val="005C767C"/>
    <w:rsid w:val="005D305A"/>
    <w:rsid w:val="005D3972"/>
    <w:rsid w:val="005D568E"/>
    <w:rsid w:val="005D72AB"/>
    <w:rsid w:val="005E12D6"/>
    <w:rsid w:val="005E34DF"/>
    <w:rsid w:val="005E4656"/>
    <w:rsid w:val="005E4ADA"/>
    <w:rsid w:val="005E4C07"/>
    <w:rsid w:val="005E5602"/>
    <w:rsid w:val="005E592F"/>
    <w:rsid w:val="005E5FD3"/>
    <w:rsid w:val="005F4493"/>
    <w:rsid w:val="005F5173"/>
    <w:rsid w:val="006108E5"/>
    <w:rsid w:val="00610F3E"/>
    <w:rsid w:val="00613293"/>
    <w:rsid w:val="006225B8"/>
    <w:rsid w:val="006244AF"/>
    <w:rsid w:val="0062720A"/>
    <w:rsid w:val="0063486C"/>
    <w:rsid w:val="00635033"/>
    <w:rsid w:val="006420AA"/>
    <w:rsid w:val="00643E95"/>
    <w:rsid w:val="006520E5"/>
    <w:rsid w:val="0065660C"/>
    <w:rsid w:val="00656812"/>
    <w:rsid w:val="006571C1"/>
    <w:rsid w:val="00661920"/>
    <w:rsid w:val="0066301F"/>
    <w:rsid w:val="00670552"/>
    <w:rsid w:val="00673E43"/>
    <w:rsid w:val="00674F93"/>
    <w:rsid w:val="00676FFE"/>
    <w:rsid w:val="006829FB"/>
    <w:rsid w:val="0068308B"/>
    <w:rsid w:val="0068425F"/>
    <w:rsid w:val="006858BF"/>
    <w:rsid w:val="00686561"/>
    <w:rsid w:val="006868D6"/>
    <w:rsid w:val="006901A5"/>
    <w:rsid w:val="00691ACE"/>
    <w:rsid w:val="00691B66"/>
    <w:rsid w:val="00691CD4"/>
    <w:rsid w:val="00691DF5"/>
    <w:rsid w:val="006923A2"/>
    <w:rsid w:val="00692D68"/>
    <w:rsid w:val="006953E8"/>
    <w:rsid w:val="006A3F78"/>
    <w:rsid w:val="006A49F6"/>
    <w:rsid w:val="006A5194"/>
    <w:rsid w:val="006B12E7"/>
    <w:rsid w:val="006B2A2E"/>
    <w:rsid w:val="006C085E"/>
    <w:rsid w:val="006C2316"/>
    <w:rsid w:val="006C2B55"/>
    <w:rsid w:val="006C4351"/>
    <w:rsid w:val="006C4459"/>
    <w:rsid w:val="006C44D4"/>
    <w:rsid w:val="006C54C6"/>
    <w:rsid w:val="006C561D"/>
    <w:rsid w:val="006C621E"/>
    <w:rsid w:val="006D6867"/>
    <w:rsid w:val="006D751F"/>
    <w:rsid w:val="006E118B"/>
    <w:rsid w:val="006E2937"/>
    <w:rsid w:val="006E2E87"/>
    <w:rsid w:val="006E3006"/>
    <w:rsid w:val="006E78F8"/>
    <w:rsid w:val="006E7EBD"/>
    <w:rsid w:val="006F01C3"/>
    <w:rsid w:val="006F2639"/>
    <w:rsid w:val="006F3178"/>
    <w:rsid w:val="006F3E0A"/>
    <w:rsid w:val="006F3FA4"/>
    <w:rsid w:val="006F5C4F"/>
    <w:rsid w:val="00700B77"/>
    <w:rsid w:val="00705ACF"/>
    <w:rsid w:val="007071DC"/>
    <w:rsid w:val="00716DDA"/>
    <w:rsid w:val="00717F43"/>
    <w:rsid w:val="0072197F"/>
    <w:rsid w:val="00723EAB"/>
    <w:rsid w:val="00724D14"/>
    <w:rsid w:val="00725028"/>
    <w:rsid w:val="007255AD"/>
    <w:rsid w:val="0072592D"/>
    <w:rsid w:val="00730048"/>
    <w:rsid w:val="0073023F"/>
    <w:rsid w:val="00732C3F"/>
    <w:rsid w:val="00733931"/>
    <w:rsid w:val="00733AC6"/>
    <w:rsid w:val="00734007"/>
    <w:rsid w:val="00734E47"/>
    <w:rsid w:val="007350F7"/>
    <w:rsid w:val="0073757E"/>
    <w:rsid w:val="007430CC"/>
    <w:rsid w:val="00744503"/>
    <w:rsid w:val="00744639"/>
    <w:rsid w:val="0075018A"/>
    <w:rsid w:val="007508AD"/>
    <w:rsid w:val="00756611"/>
    <w:rsid w:val="00757918"/>
    <w:rsid w:val="007606C1"/>
    <w:rsid w:val="00760EF2"/>
    <w:rsid w:val="0076178D"/>
    <w:rsid w:val="007618FE"/>
    <w:rsid w:val="0076310A"/>
    <w:rsid w:val="00763DCD"/>
    <w:rsid w:val="00764302"/>
    <w:rsid w:val="00764347"/>
    <w:rsid w:val="00766215"/>
    <w:rsid w:val="00767DE0"/>
    <w:rsid w:val="00776C66"/>
    <w:rsid w:val="00781CF3"/>
    <w:rsid w:val="0078208A"/>
    <w:rsid w:val="00783241"/>
    <w:rsid w:val="007843E6"/>
    <w:rsid w:val="007861FA"/>
    <w:rsid w:val="00786B58"/>
    <w:rsid w:val="00787F0B"/>
    <w:rsid w:val="00791D3F"/>
    <w:rsid w:val="00792334"/>
    <w:rsid w:val="0079274A"/>
    <w:rsid w:val="00792A11"/>
    <w:rsid w:val="00794839"/>
    <w:rsid w:val="00795358"/>
    <w:rsid w:val="007959B2"/>
    <w:rsid w:val="00796A86"/>
    <w:rsid w:val="007A1885"/>
    <w:rsid w:val="007A2661"/>
    <w:rsid w:val="007A3AF5"/>
    <w:rsid w:val="007A6FFB"/>
    <w:rsid w:val="007A74A6"/>
    <w:rsid w:val="007A79A9"/>
    <w:rsid w:val="007B026A"/>
    <w:rsid w:val="007B2C46"/>
    <w:rsid w:val="007B3223"/>
    <w:rsid w:val="007B400D"/>
    <w:rsid w:val="007C0BD4"/>
    <w:rsid w:val="007C10DE"/>
    <w:rsid w:val="007C1964"/>
    <w:rsid w:val="007C1B32"/>
    <w:rsid w:val="007C2CD5"/>
    <w:rsid w:val="007C5C3F"/>
    <w:rsid w:val="007C6C26"/>
    <w:rsid w:val="007D0613"/>
    <w:rsid w:val="007D370D"/>
    <w:rsid w:val="007D3AC3"/>
    <w:rsid w:val="007D3CDE"/>
    <w:rsid w:val="007D4071"/>
    <w:rsid w:val="007D7848"/>
    <w:rsid w:val="007E6640"/>
    <w:rsid w:val="007F01B2"/>
    <w:rsid w:val="007F2A40"/>
    <w:rsid w:val="007F2C19"/>
    <w:rsid w:val="007F2D6B"/>
    <w:rsid w:val="007F3BA6"/>
    <w:rsid w:val="007F4C55"/>
    <w:rsid w:val="007F64F8"/>
    <w:rsid w:val="00800558"/>
    <w:rsid w:val="00801950"/>
    <w:rsid w:val="008020C5"/>
    <w:rsid w:val="00802972"/>
    <w:rsid w:val="00803883"/>
    <w:rsid w:val="00803A28"/>
    <w:rsid w:val="00803E1A"/>
    <w:rsid w:val="00810513"/>
    <w:rsid w:val="0081067B"/>
    <w:rsid w:val="008121FE"/>
    <w:rsid w:val="00812AE0"/>
    <w:rsid w:val="008132DD"/>
    <w:rsid w:val="00813DE1"/>
    <w:rsid w:val="0081445A"/>
    <w:rsid w:val="00815D66"/>
    <w:rsid w:val="008178FE"/>
    <w:rsid w:val="00817DEA"/>
    <w:rsid w:val="00821107"/>
    <w:rsid w:val="00822B46"/>
    <w:rsid w:val="00823963"/>
    <w:rsid w:val="00823B9A"/>
    <w:rsid w:val="00824FB8"/>
    <w:rsid w:val="00825084"/>
    <w:rsid w:val="00830777"/>
    <w:rsid w:val="00830C90"/>
    <w:rsid w:val="00831EE0"/>
    <w:rsid w:val="00834009"/>
    <w:rsid w:val="00845C39"/>
    <w:rsid w:val="0084654E"/>
    <w:rsid w:val="008465F9"/>
    <w:rsid w:val="00851EF6"/>
    <w:rsid w:val="00852084"/>
    <w:rsid w:val="0085421A"/>
    <w:rsid w:val="008550E9"/>
    <w:rsid w:val="00855E81"/>
    <w:rsid w:val="00855FA4"/>
    <w:rsid w:val="008572A4"/>
    <w:rsid w:val="008645B7"/>
    <w:rsid w:val="008711A5"/>
    <w:rsid w:val="00871C25"/>
    <w:rsid w:val="00871D86"/>
    <w:rsid w:val="00882892"/>
    <w:rsid w:val="00882A48"/>
    <w:rsid w:val="00883E31"/>
    <w:rsid w:val="00892071"/>
    <w:rsid w:val="008922A5"/>
    <w:rsid w:val="00894EF1"/>
    <w:rsid w:val="00895DCF"/>
    <w:rsid w:val="00896671"/>
    <w:rsid w:val="00896DEE"/>
    <w:rsid w:val="00897966"/>
    <w:rsid w:val="008A2DE2"/>
    <w:rsid w:val="008A36D8"/>
    <w:rsid w:val="008A5522"/>
    <w:rsid w:val="008A5CAF"/>
    <w:rsid w:val="008A62BE"/>
    <w:rsid w:val="008B0619"/>
    <w:rsid w:val="008B7A40"/>
    <w:rsid w:val="008C14EA"/>
    <w:rsid w:val="008C5011"/>
    <w:rsid w:val="008C5C37"/>
    <w:rsid w:val="008D1643"/>
    <w:rsid w:val="008D23EF"/>
    <w:rsid w:val="008D3C24"/>
    <w:rsid w:val="008D4A64"/>
    <w:rsid w:val="008E1851"/>
    <w:rsid w:val="008E2E42"/>
    <w:rsid w:val="008E421E"/>
    <w:rsid w:val="008E42D9"/>
    <w:rsid w:val="008E504E"/>
    <w:rsid w:val="008E551C"/>
    <w:rsid w:val="008E651F"/>
    <w:rsid w:val="008E6F64"/>
    <w:rsid w:val="008F0836"/>
    <w:rsid w:val="008F1C0A"/>
    <w:rsid w:val="008F26C4"/>
    <w:rsid w:val="008F432E"/>
    <w:rsid w:val="008F621D"/>
    <w:rsid w:val="008F77BA"/>
    <w:rsid w:val="008F7EE9"/>
    <w:rsid w:val="00906EAF"/>
    <w:rsid w:val="0090748D"/>
    <w:rsid w:val="009136A2"/>
    <w:rsid w:val="009141D7"/>
    <w:rsid w:val="00914A99"/>
    <w:rsid w:val="009163F7"/>
    <w:rsid w:val="00920650"/>
    <w:rsid w:val="00920B4F"/>
    <w:rsid w:val="00920F36"/>
    <w:rsid w:val="00923648"/>
    <w:rsid w:val="0092727D"/>
    <w:rsid w:val="00927E3F"/>
    <w:rsid w:val="00931289"/>
    <w:rsid w:val="00931C31"/>
    <w:rsid w:val="00932319"/>
    <w:rsid w:val="009329A1"/>
    <w:rsid w:val="00933F5E"/>
    <w:rsid w:val="00934316"/>
    <w:rsid w:val="0093657B"/>
    <w:rsid w:val="009429CC"/>
    <w:rsid w:val="009471BA"/>
    <w:rsid w:val="00950429"/>
    <w:rsid w:val="00953648"/>
    <w:rsid w:val="009541D1"/>
    <w:rsid w:val="00957058"/>
    <w:rsid w:val="00960874"/>
    <w:rsid w:val="00960D8A"/>
    <w:rsid w:val="009611CF"/>
    <w:rsid w:val="00961AC1"/>
    <w:rsid w:val="00963F9E"/>
    <w:rsid w:val="009653C6"/>
    <w:rsid w:val="009658CA"/>
    <w:rsid w:val="00971273"/>
    <w:rsid w:val="0097157A"/>
    <w:rsid w:val="00980882"/>
    <w:rsid w:val="009811FC"/>
    <w:rsid w:val="009819DC"/>
    <w:rsid w:val="009825A1"/>
    <w:rsid w:val="0098469F"/>
    <w:rsid w:val="00984D1B"/>
    <w:rsid w:val="00986631"/>
    <w:rsid w:val="00987DD8"/>
    <w:rsid w:val="0099163C"/>
    <w:rsid w:val="00993C48"/>
    <w:rsid w:val="009943FC"/>
    <w:rsid w:val="00994E3C"/>
    <w:rsid w:val="009955AD"/>
    <w:rsid w:val="009A0C7C"/>
    <w:rsid w:val="009A2721"/>
    <w:rsid w:val="009A439A"/>
    <w:rsid w:val="009A4AAB"/>
    <w:rsid w:val="009A4E1C"/>
    <w:rsid w:val="009A4EA5"/>
    <w:rsid w:val="009A6A86"/>
    <w:rsid w:val="009A7942"/>
    <w:rsid w:val="009B00EE"/>
    <w:rsid w:val="009B05F9"/>
    <w:rsid w:val="009B3B10"/>
    <w:rsid w:val="009B5BAB"/>
    <w:rsid w:val="009B799C"/>
    <w:rsid w:val="009C1C03"/>
    <w:rsid w:val="009C21BE"/>
    <w:rsid w:val="009C2316"/>
    <w:rsid w:val="009C44BC"/>
    <w:rsid w:val="009C516F"/>
    <w:rsid w:val="009C59F8"/>
    <w:rsid w:val="009C601D"/>
    <w:rsid w:val="009C75C3"/>
    <w:rsid w:val="009D24BB"/>
    <w:rsid w:val="009D5E52"/>
    <w:rsid w:val="009D714C"/>
    <w:rsid w:val="009D7E6E"/>
    <w:rsid w:val="009E110B"/>
    <w:rsid w:val="009E14A2"/>
    <w:rsid w:val="009E2CF0"/>
    <w:rsid w:val="009E478E"/>
    <w:rsid w:val="009E4A10"/>
    <w:rsid w:val="009E590F"/>
    <w:rsid w:val="009E66A7"/>
    <w:rsid w:val="009E72A7"/>
    <w:rsid w:val="009F0754"/>
    <w:rsid w:val="009F19CE"/>
    <w:rsid w:val="009F5B5E"/>
    <w:rsid w:val="00A05234"/>
    <w:rsid w:val="00A067AF"/>
    <w:rsid w:val="00A10FB5"/>
    <w:rsid w:val="00A13B78"/>
    <w:rsid w:val="00A20A57"/>
    <w:rsid w:val="00A2115B"/>
    <w:rsid w:val="00A2212E"/>
    <w:rsid w:val="00A225C0"/>
    <w:rsid w:val="00A25192"/>
    <w:rsid w:val="00A26C3A"/>
    <w:rsid w:val="00A3066D"/>
    <w:rsid w:val="00A311E8"/>
    <w:rsid w:val="00A37EE7"/>
    <w:rsid w:val="00A40C8F"/>
    <w:rsid w:val="00A41E7F"/>
    <w:rsid w:val="00A41FC0"/>
    <w:rsid w:val="00A42262"/>
    <w:rsid w:val="00A44218"/>
    <w:rsid w:val="00A44BDA"/>
    <w:rsid w:val="00A51262"/>
    <w:rsid w:val="00A53D2A"/>
    <w:rsid w:val="00A55258"/>
    <w:rsid w:val="00A554DB"/>
    <w:rsid w:val="00A60DA5"/>
    <w:rsid w:val="00A67A15"/>
    <w:rsid w:val="00A737AD"/>
    <w:rsid w:val="00A73C01"/>
    <w:rsid w:val="00A75B21"/>
    <w:rsid w:val="00A854B8"/>
    <w:rsid w:val="00A854D6"/>
    <w:rsid w:val="00A85B72"/>
    <w:rsid w:val="00A878CD"/>
    <w:rsid w:val="00A87DF0"/>
    <w:rsid w:val="00A903D5"/>
    <w:rsid w:val="00A91C3C"/>
    <w:rsid w:val="00A92EAB"/>
    <w:rsid w:val="00A93A38"/>
    <w:rsid w:val="00A956B7"/>
    <w:rsid w:val="00A974DD"/>
    <w:rsid w:val="00AA027E"/>
    <w:rsid w:val="00AA0717"/>
    <w:rsid w:val="00AA592D"/>
    <w:rsid w:val="00AB2868"/>
    <w:rsid w:val="00AB4AB6"/>
    <w:rsid w:val="00AB56C4"/>
    <w:rsid w:val="00AC0CEC"/>
    <w:rsid w:val="00AC3C14"/>
    <w:rsid w:val="00AC6225"/>
    <w:rsid w:val="00AC7116"/>
    <w:rsid w:val="00AD09D1"/>
    <w:rsid w:val="00AD3C5B"/>
    <w:rsid w:val="00AD4490"/>
    <w:rsid w:val="00AE772D"/>
    <w:rsid w:val="00AF0B84"/>
    <w:rsid w:val="00AF2C24"/>
    <w:rsid w:val="00AF2D00"/>
    <w:rsid w:val="00AF32A3"/>
    <w:rsid w:val="00AF4F9B"/>
    <w:rsid w:val="00AF7B3A"/>
    <w:rsid w:val="00B00816"/>
    <w:rsid w:val="00B00918"/>
    <w:rsid w:val="00B00A1F"/>
    <w:rsid w:val="00B01C77"/>
    <w:rsid w:val="00B048D9"/>
    <w:rsid w:val="00B05006"/>
    <w:rsid w:val="00B05CF5"/>
    <w:rsid w:val="00B10B3E"/>
    <w:rsid w:val="00B1149B"/>
    <w:rsid w:val="00B25FF3"/>
    <w:rsid w:val="00B26B02"/>
    <w:rsid w:val="00B3050D"/>
    <w:rsid w:val="00B30F71"/>
    <w:rsid w:val="00B332F2"/>
    <w:rsid w:val="00B33B3E"/>
    <w:rsid w:val="00B344DB"/>
    <w:rsid w:val="00B40EF2"/>
    <w:rsid w:val="00B42077"/>
    <w:rsid w:val="00B438A0"/>
    <w:rsid w:val="00B442CC"/>
    <w:rsid w:val="00B508BD"/>
    <w:rsid w:val="00B53EF9"/>
    <w:rsid w:val="00B540BA"/>
    <w:rsid w:val="00B5628A"/>
    <w:rsid w:val="00B56812"/>
    <w:rsid w:val="00B56B5D"/>
    <w:rsid w:val="00B56D8B"/>
    <w:rsid w:val="00B6026B"/>
    <w:rsid w:val="00B60F58"/>
    <w:rsid w:val="00B66A44"/>
    <w:rsid w:val="00B674EC"/>
    <w:rsid w:val="00B7266D"/>
    <w:rsid w:val="00B744E3"/>
    <w:rsid w:val="00B76E15"/>
    <w:rsid w:val="00B77E5B"/>
    <w:rsid w:val="00B800C9"/>
    <w:rsid w:val="00B816A3"/>
    <w:rsid w:val="00B83BFE"/>
    <w:rsid w:val="00B851AC"/>
    <w:rsid w:val="00B859D4"/>
    <w:rsid w:val="00B87A8E"/>
    <w:rsid w:val="00B9096E"/>
    <w:rsid w:val="00B91B70"/>
    <w:rsid w:val="00B921C4"/>
    <w:rsid w:val="00B928AB"/>
    <w:rsid w:val="00B94754"/>
    <w:rsid w:val="00BA0F02"/>
    <w:rsid w:val="00BA10BE"/>
    <w:rsid w:val="00BA4A9E"/>
    <w:rsid w:val="00BB004E"/>
    <w:rsid w:val="00BB422A"/>
    <w:rsid w:val="00BB517E"/>
    <w:rsid w:val="00BB60E9"/>
    <w:rsid w:val="00BB73FD"/>
    <w:rsid w:val="00BB7554"/>
    <w:rsid w:val="00BB77DA"/>
    <w:rsid w:val="00BC05A1"/>
    <w:rsid w:val="00BC0BB2"/>
    <w:rsid w:val="00BC111D"/>
    <w:rsid w:val="00BC1E4E"/>
    <w:rsid w:val="00BC3046"/>
    <w:rsid w:val="00BC49F3"/>
    <w:rsid w:val="00BC53DF"/>
    <w:rsid w:val="00BD08CC"/>
    <w:rsid w:val="00BD131A"/>
    <w:rsid w:val="00BD1BE6"/>
    <w:rsid w:val="00BD2BD4"/>
    <w:rsid w:val="00BD3149"/>
    <w:rsid w:val="00BD355D"/>
    <w:rsid w:val="00BD416A"/>
    <w:rsid w:val="00BD50DA"/>
    <w:rsid w:val="00BE4573"/>
    <w:rsid w:val="00BE4D8D"/>
    <w:rsid w:val="00BF3989"/>
    <w:rsid w:val="00BF4E02"/>
    <w:rsid w:val="00C07143"/>
    <w:rsid w:val="00C07C21"/>
    <w:rsid w:val="00C07FF2"/>
    <w:rsid w:val="00C13659"/>
    <w:rsid w:val="00C15807"/>
    <w:rsid w:val="00C21014"/>
    <w:rsid w:val="00C21962"/>
    <w:rsid w:val="00C221B2"/>
    <w:rsid w:val="00C237F3"/>
    <w:rsid w:val="00C2396C"/>
    <w:rsid w:val="00C24BC1"/>
    <w:rsid w:val="00C25ED2"/>
    <w:rsid w:val="00C26D7D"/>
    <w:rsid w:val="00C32687"/>
    <w:rsid w:val="00C3488C"/>
    <w:rsid w:val="00C34A8D"/>
    <w:rsid w:val="00C3525B"/>
    <w:rsid w:val="00C35B15"/>
    <w:rsid w:val="00C36ACA"/>
    <w:rsid w:val="00C36E99"/>
    <w:rsid w:val="00C40E04"/>
    <w:rsid w:val="00C42EC5"/>
    <w:rsid w:val="00C44453"/>
    <w:rsid w:val="00C45730"/>
    <w:rsid w:val="00C46514"/>
    <w:rsid w:val="00C53859"/>
    <w:rsid w:val="00C5471D"/>
    <w:rsid w:val="00C56BEE"/>
    <w:rsid w:val="00C57C47"/>
    <w:rsid w:val="00C60A08"/>
    <w:rsid w:val="00C62615"/>
    <w:rsid w:val="00C64169"/>
    <w:rsid w:val="00C64E5A"/>
    <w:rsid w:val="00C65917"/>
    <w:rsid w:val="00C701E1"/>
    <w:rsid w:val="00C72391"/>
    <w:rsid w:val="00C7312A"/>
    <w:rsid w:val="00C73428"/>
    <w:rsid w:val="00C743BE"/>
    <w:rsid w:val="00C75FCA"/>
    <w:rsid w:val="00C76FAA"/>
    <w:rsid w:val="00C77DEF"/>
    <w:rsid w:val="00C86842"/>
    <w:rsid w:val="00C86B40"/>
    <w:rsid w:val="00C91A37"/>
    <w:rsid w:val="00C9271A"/>
    <w:rsid w:val="00C938DF"/>
    <w:rsid w:val="00C94470"/>
    <w:rsid w:val="00C94E69"/>
    <w:rsid w:val="00C9673A"/>
    <w:rsid w:val="00CA2091"/>
    <w:rsid w:val="00CA20F8"/>
    <w:rsid w:val="00CB01EB"/>
    <w:rsid w:val="00CB16D7"/>
    <w:rsid w:val="00CB3260"/>
    <w:rsid w:val="00CB5A95"/>
    <w:rsid w:val="00CB6556"/>
    <w:rsid w:val="00CB7992"/>
    <w:rsid w:val="00CC56BF"/>
    <w:rsid w:val="00CC634C"/>
    <w:rsid w:val="00CC7E97"/>
    <w:rsid w:val="00CD06EB"/>
    <w:rsid w:val="00CD1AED"/>
    <w:rsid w:val="00CD1BBE"/>
    <w:rsid w:val="00CD39D9"/>
    <w:rsid w:val="00CD3E7D"/>
    <w:rsid w:val="00CD5762"/>
    <w:rsid w:val="00CD5FFB"/>
    <w:rsid w:val="00CD69A1"/>
    <w:rsid w:val="00CE1466"/>
    <w:rsid w:val="00CE35B5"/>
    <w:rsid w:val="00CE60D0"/>
    <w:rsid w:val="00CF29D0"/>
    <w:rsid w:val="00CF372F"/>
    <w:rsid w:val="00D040C7"/>
    <w:rsid w:val="00D05157"/>
    <w:rsid w:val="00D0747F"/>
    <w:rsid w:val="00D10566"/>
    <w:rsid w:val="00D10F1D"/>
    <w:rsid w:val="00D1535C"/>
    <w:rsid w:val="00D15B31"/>
    <w:rsid w:val="00D16967"/>
    <w:rsid w:val="00D1782C"/>
    <w:rsid w:val="00D17E65"/>
    <w:rsid w:val="00D21DC6"/>
    <w:rsid w:val="00D22A2F"/>
    <w:rsid w:val="00D23A4B"/>
    <w:rsid w:val="00D2686C"/>
    <w:rsid w:val="00D26953"/>
    <w:rsid w:val="00D27BDB"/>
    <w:rsid w:val="00D31E76"/>
    <w:rsid w:val="00D354A4"/>
    <w:rsid w:val="00D35E74"/>
    <w:rsid w:val="00D367CD"/>
    <w:rsid w:val="00D37DD3"/>
    <w:rsid w:val="00D40599"/>
    <w:rsid w:val="00D40609"/>
    <w:rsid w:val="00D41FFC"/>
    <w:rsid w:val="00D42AA4"/>
    <w:rsid w:val="00D5152E"/>
    <w:rsid w:val="00D51F81"/>
    <w:rsid w:val="00D52383"/>
    <w:rsid w:val="00D53138"/>
    <w:rsid w:val="00D54A37"/>
    <w:rsid w:val="00D573B3"/>
    <w:rsid w:val="00D578ED"/>
    <w:rsid w:val="00D57E7E"/>
    <w:rsid w:val="00D6018E"/>
    <w:rsid w:val="00D6083E"/>
    <w:rsid w:val="00D61E93"/>
    <w:rsid w:val="00D625CA"/>
    <w:rsid w:val="00D67735"/>
    <w:rsid w:val="00D7245E"/>
    <w:rsid w:val="00D73D31"/>
    <w:rsid w:val="00D765BD"/>
    <w:rsid w:val="00D7792D"/>
    <w:rsid w:val="00D81782"/>
    <w:rsid w:val="00D8461C"/>
    <w:rsid w:val="00D852CC"/>
    <w:rsid w:val="00D876C5"/>
    <w:rsid w:val="00D879D7"/>
    <w:rsid w:val="00D87C9B"/>
    <w:rsid w:val="00D914ED"/>
    <w:rsid w:val="00DA3392"/>
    <w:rsid w:val="00DA50A0"/>
    <w:rsid w:val="00DA63EA"/>
    <w:rsid w:val="00DA6A2E"/>
    <w:rsid w:val="00DB30B8"/>
    <w:rsid w:val="00DB4F62"/>
    <w:rsid w:val="00DB71B2"/>
    <w:rsid w:val="00DC0A6A"/>
    <w:rsid w:val="00DC4C3C"/>
    <w:rsid w:val="00DC6BF0"/>
    <w:rsid w:val="00DD1680"/>
    <w:rsid w:val="00DD2667"/>
    <w:rsid w:val="00DD2E14"/>
    <w:rsid w:val="00DD3401"/>
    <w:rsid w:val="00DD3D8D"/>
    <w:rsid w:val="00DE03BD"/>
    <w:rsid w:val="00DE05DD"/>
    <w:rsid w:val="00DE16F2"/>
    <w:rsid w:val="00DE1A4B"/>
    <w:rsid w:val="00DE29E1"/>
    <w:rsid w:val="00DE3395"/>
    <w:rsid w:val="00DE3B7B"/>
    <w:rsid w:val="00DE42AE"/>
    <w:rsid w:val="00DF0B19"/>
    <w:rsid w:val="00DF403C"/>
    <w:rsid w:val="00DF7FEC"/>
    <w:rsid w:val="00E0044D"/>
    <w:rsid w:val="00E0115B"/>
    <w:rsid w:val="00E01345"/>
    <w:rsid w:val="00E03AC9"/>
    <w:rsid w:val="00E045B5"/>
    <w:rsid w:val="00E05856"/>
    <w:rsid w:val="00E07841"/>
    <w:rsid w:val="00E1023F"/>
    <w:rsid w:val="00E1481E"/>
    <w:rsid w:val="00E15B76"/>
    <w:rsid w:val="00E15BC5"/>
    <w:rsid w:val="00E16835"/>
    <w:rsid w:val="00E168EE"/>
    <w:rsid w:val="00E21785"/>
    <w:rsid w:val="00E24908"/>
    <w:rsid w:val="00E266A5"/>
    <w:rsid w:val="00E307AB"/>
    <w:rsid w:val="00E309F9"/>
    <w:rsid w:val="00E3132A"/>
    <w:rsid w:val="00E31913"/>
    <w:rsid w:val="00E32E81"/>
    <w:rsid w:val="00E34865"/>
    <w:rsid w:val="00E4204E"/>
    <w:rsid w:val="00E4349A"/>
    <w:rsid w:val="00E43E7A"/>
    <w:rsid w:val="00E445DB"/>
    <w:rsid w:val="00E45834"/>
    <w:rsid w:val="00E47469"/>
    <w:rsid w:val="00E477DB"/>
    <w:rsid w:val="00E50BD4"/>
    <w:rsid w:val="00E54EEF"/>
    <w:rsid w:val="00E60137"/>
    <w:rsid w:val="00E614B1"/>
    <w:rsid w:val="00E65784"/>
    <w:rsid w:val="00E6710F"/>
    <w:rsid w:val="00E714BB"/>
    <w:rsid w:val="00E71FC4"/>
    <w:rsid w:val="00E7231B"/>
    <w:rsid w:val="00E72615"/>
    <w:rsid w:val="00E72D07"/>
    <w:rsid w:val="00E73293"/>
    <w:rsid w:val="00E749D5"/>
    <w:rsid w:val="00E7690B"/>
    <w:rsid w:val="00E76A33"/>
    <w:rsid w:val="00E77313"/>
    <w:rsid w:val="00E7776E"/>
    <w:rsid w:val="00E8051A"/>
    <w:rsid w:val="00E83E8C"/>
    <w:rsid w:val="00E9084F"/>
    <w:rsid w:val="00E908B9"/>
    <w:rsid w:val="00E911CD"/>
    <w:rsid w:val="00E9255F"/>
    <w:rsid w:val="00E9322E"/>
    <w:rsid w:val="00E93804"/>
    <w:rsid w:val="00E96A13"/>
    <w:rsid w:val="00E9774A"/>
    <w:rsid w:val="00E977B6"/>
    <w:rsid w:val="00EA1801"/>
    <w:rsid w:val="00EA1AD0"/>
    <w:rsid w:val="00EA2F55"/>
    <w:rsid w:val="00EA370D"/>
    <w:rsid w:val="00EA4BAA"/>
    <w:rsid w:val="00EA56DA"/>
    <w:rsid w:val="00EA593A"/>
    <w:rsid w:val="00EB0C77"/>
    <w:rsid w:val="00EB143C"/>
    <w:rsid w:val="00EB1F16"/>
    <w:rsid w:val="00EB5EDE"/>
    <w:rsid w:val="00EC1C6C"/>
    <w:rsid w:val="00EC1E50"/>
    <w:rsid w:val="00EC70DF"/>
    <w:rsid w:val="00EC7104"/>
    <w:rsid w:val="00EC7A6D"/>
    <w:rsid w:val="00ED1977"/>
    <w:rsid w:val="00ED423D"/>
    <w:rsid w:val="00ED52AB"/>
    <w:rsid w:val="00ED5922"/>
    <w:rsid w:val="00ED689E"/>
    <w:rsid w:val="00ED70F9"/>
    <w:rsid w:val="00ED7CD1"/>
    <w:rsid w:val="00EE084C"/>
    <w:rsid w:val="00EE1119"/>
    <w:rsid w:val="00EE1387"/>
    <w:rsid w:val="00EE2409"/>
    <w:rsid w:val="00EE3646"/>
    <w:rsid w:val="00EE5A5D"/>
    <w:rsid w:val="00EE7AD8"/>
    <w:rsid w:val="00EF26F7"/>
    <w:rsid w:val="00EF27F6"/>
    <w:rsid w:val="00EF2D1A"/>
    <w:rsid w:val="00EF7193"/>
    <w:rsid w:val="00F00C77"/>
    <w:rsid w:val="00F02105"/>
    <w:rsid w:val="00F0362A"/>
    <w:rsid w:val="00F054C5"/>
    <w:rsid w:val="00F062E2"/>
    <w:rsid w:val="00F06D9F"/>
    <w:rsid w:val="00F107A0"/>
    <w:rsid w:val="00F10BD0"/>
    <w:rsid w:val="00F11E48"/>
    <w:rsid w:val="00F12354"/>
    <w:rsid w:val="00F13ECC"/>
    <w:rsid w:val="00F15B82"/>
    <w:rsid w:val="00F17B52"/>
    <w:rsid w:val="00F17CE4"/>
    <w:rsid w:val="00F22DEF"/>
    <w:rsid w:val="00F239A8"/>
    <w:rsid w:val="00F23C10"/>
    <w:rsid w:val="00F25404"/>
    <w:rsid w:val="00F255D6"/>
    <w:rsid w:val="00F27124"/>
    <w:rsid w:val="00F27CFC"/>
    <w:rsid w:val="00F34C6F"/>
    <w:rsid w:val="00F405EE"/>
    <w:rsid w:val="00F413AF"/>
    <w:rsid w:val="00F4352E"/>
    <w:rsid w:val="00F44F00"/>
    <w:rsid w:val="00F4786B"/>
    <w:rsid w:val="00F509CF"/>
    <w:rsid w:val="00F50B1B"/>
    <w:rsid w:val="00F52780"/>
    <w:rsid w:val="00F54B40"/>
    <w:rsid w:val="00F553A0"/>
    <w:rsid w:val="00F555A3"/>
    <w:rsid w:val="00F56E45"/>
    <w:rsid w:val="00F57D9D"/>
    <w:rsid w:val="00F60EAB"/>
    <w:rsid w:val="00F610A3"/>
    <w:rsid w:val="00F638EB"/>
    <w:rsid w:val="00F65818"/>
    <w:rsid w:val="00F70519"/>
    <w:rsid w:val="00F80113"/>
    <w:rsid w:val="00F8397C"/>
    <w:rsid w:val="00F83FA7"/>
    <w:rsid w:val="00F86B0B"/>
    <w:rsid w:val="00F91003"/>
    <w:rsid w:val="00F92A17"/>
    <w:rsid w:val="00F93F0B"/>
    <w:rsid w:val="00F9522F"/>
    <w:rsid w:val="00F95285"/>
    <w:rsid w:val="00FA014D"/>
    <w:rsid w:val="00FA0604"/>
    <w:rsid w:val="00FA4EA7"/>
    <w:rsid w:val="00FA5066"/>
    <w:rsid w:val="00FA710E"/>
    <w:rsid w:val="00FB6843"/>
    <w:rsid w:val="00FB6E73"/>
    <w:rsid w:val="00FB7677"/>
    <w:rsid w:val="00FC0B07"/>
    <w:rsid w:val="00FC0B51"/>
    <w:rsid w:val="00FC2A60"/>
    <w:rsid w:val="00FC2CFF"/>
    <w:rsid w:val="00FC32D0"/>
    <w:rsid w:val="00FC3EE1"/>
    <w:rsid w:val="00FC41E2"/>
    <w:rsid w:val="00FD09AE"/>
    <w:rsid w:val="00FD1A94"/>
    <w:rsid w:val="00FD2DDE"/>
    <w:rsid w:val="00FD30AB"/>
    <w:rsid w:val="00FD5087"/>
    <w:rsid w:val="00FD594A"/>
    <w:rsid w:val="00FE02E6"/>
    <w:rsid w:val="00FE3B48"/>
    <w:rsid w:val="00FE42E0"/>
    <w:rsid w:val="00FE54EA"/>
    <w:rsid w:val="00FE7824"/>
    <w:rsid w:val="00FE7F99"/>
    <w:rsid w:val="00FF0442"/>
    <w:rsid w:val="00FF29ED"/>
    <w:rsid w:val="00FF4C6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36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89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016894"/>
    <w:rPr>
      <w:color w:val="0000FF"/>
      <w:u w:val="single"/>
    </w:rPr>
  </w:style>
  <w:style w:type="paragraph" w:styleId="ListeParagraf">
    <w:name w:val="List Paragraph"/>
    <w:basedOn w:val="Normal"/>
    <w:uiPriority w:val="34"/>
    <w:qFormat/>
    <w:rsid w:val="00016894"/>
    <w:pPr>
      <w:ind w:left="720"/>
      <w:contextualSpacing/>
    </w:pPr>
    <w:rPr>
      <w:rFonts w:ascii="Arial" w:hAnsi="Arial" w:cs="Arial"/>
      <w:sz w:val="22"/>
      <w:szCs w:val="22"/>
    </w:rPr>
  </w:style>
  <w:style w:type="paragraph" w:styleId="stbilgi">
    <w:name w:val="header"/>
    <w:basedOn w:val="Normal"/>
    <w:link w:val="stbilgiChar"/>
    <w:uiPriority w:val="99"/>
    <w:semiHidden/>
    <w:unhideWhenUsed/>
    <w:rsid w:val="000D569A"/>
    <w:pPr>
      <w:tabs>
        <w:tab w:val="center" w:pos="4536"/>
        <w:tab w:val="right" w:pos="9072"/>
      </w:tabs>
    </w:pPr>
  </w:style>
  <w:style w:type="character" w:customStyle="1" w:styleId="stbilgiChar">
    <w:name w:val="Üstbilgi Char"/>
    <w:basedOn w:val="VarsaylanParagrafYazTipi"/>
    <w:link w:val="stbilgi"/>
    <w:uiPriority w:val="99"/>
    <w:semiHidden/>
    <w:rsid w:val="000D569A"/>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0D569A"/>
    <w:pPr>
      <w:tabs>
        <w:tab w:val="center" w:pos="4536"/>
        <w:tab w:val="right" w:pos="9072"/>
      </w:tabs>
    </w:pPr>
  </w:style>
  <w:style w:type="character" w:customStyle="1" w:styleId="AltbilgiChar">
    <w:name w:val="Altbilgi Char"/>
    <w:basedOn w:val="VarsaylanParagrafYazTipi"/>
    <w:link w:val="Altbilgi"/>
    <w:uiPriority w:val="99"/>
    <w:rsid w:val="000D569A"/>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15DE6"/>
    <w:rPr>
      <w:rFonts w:ascii="Tahoma" w:hAnsi="Tahoma" w:cs="Tahoma"/>
      <w:sz w:val="16"/>
      <w:szCs w:val="16"/>
    </w:rPr>
  </w:style>
  <w:style w:type="character" w:customStyle="1" w:styleId="BalonMetniChar">
    <w:name w:val="Balon Metni Char"/>
    <w:basedOn w:val="VarsaylanParagrafYazTipi"/>
    <w:link w:val="BalonMetni"/>
    <w:uiPriority w:val="99"/>
    <w:semiHidden/>
    <w:rsid w:val="00415DE6"/>
    <w:rPr>
      <w:rFonts w:ascii="Tahoma" w:eastAsia="Times New Roman" w:hAnsi="Tahoma" w:cs="Tahoma"/>
      <w:sz w:val="16"/>
      <w:szCs w:val="16"/>
      <w:lang w:eastAsia="tr-TR"/>
    </w:rPr>
  </w:style>
  <w:style w:type="table" w:styleId="TabloKlavuzu">
    <w:name w:val="Table Grid"/>
    <w:basedOn w:val="NormalTablo"/>
    <w:uiPriority w:val="59"/>
    <w:rsid w:val="00F13E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
    <w:name w:val="Body text_"/>
    <w:basedOn w:val="VarsaylanParagrafYazTipi"/>
    <w:link w:val="Bodytext0"/>
    <w:rsid w:val="00EF7193"/>
    <w:rPr>
      <w:rFonts w:ascii="Book Antiqua" w:eastAsia="Book Antiqua" w:hAnsi="Book Antiqua" w:cs="Book Antiqua"/>
      <w:sz w:val="20"/>
      <w:szCs w:val="20"/>
      <w:shd w:val="clear" w:color="auto" w:fill="FFFFFF"/>
    </w:rPr>
  </w:style>
  <w:style w:type="character" w:customStyle="1" w:styleId="BodytextBold">
    <w:name w:val="Body text + Bold"/>
    <w:basedOn w:val="Bodytext"/>
    <w:rsid w:val="00EF7193"/>
    <w:rPr>
      <w:b/>
      <w:bCs/>
    </w:rPr>
  </w:style>
  <w:style w:type="paragraph" w:customStyle="1" w:styleId="Bodytext0">
    <w:name w:val="Body text"/>
    <w:basedOn w:val="Normal"/>
    <w:link w:val="Bodytext"/>
    <w:rsid w:val="00EF7193"/>
    <w:pPr>
      <w:shd w:val="clear" w:color="auto" w:fill="FFFFFF"/>
      <w:spacing w:before="60" w:after="420" w:line="0" w:lineRule="atLeast"/>
    </w:pPr>
    <w:rPr>
      <w:rFonts w:ascii="Book Antiqua" w:eastAsia="Book Antiqua" w:hAnsi="Book Antiqua" w:cs="Book Antiqua"/>
      <w:sz w:val="20"/>
      <w:szCs w:val="20"/>
      <w:lang w:eastAsia="en-US"/>
    </w:rPr>
  </w:style>
  <w:style w:type="character" w:customStyle="1" w:styleId="Bodytext9">
    <w:name w:val="Body text (9)_"/>
    <w:basedOn w:val="VarsaylanParagrafYazTipi"/>
    <w:rsid w:val="00EF7193"/>
    <w:rPr>
      <w:rFonts w:ascii="Book Antiqua" w:eastAsia="Book Antiqua" w:hAnsi="Book Antiqua" w:cs="Book Antiqua"/>
      <w:b w:val="0"/>
      <w:bCs w:val="0"/>
      <w:i w:val="0"/>
      <w:iCs w:val="0"/>
      <w:smallCaps w:val="0"/>
      <w:strike w:val="0"/>
      <w:spacing w:val="0"/>
      <w:sz w:val="20"/>
      <w:szCs w:val="20"/>
    </w:rPr>
  </w:style>
  <w:style w:type="character" w:customStyle="1" w:styleId="Bodytext8pt">
    <w:name w:val="Body text + 8 pt"/>
    <w:basedOn w:val="Bodytext"/>
    <w:rsid w:val="00EF7193"/>
    <w:rPr>
      <w:sz w:val="16"/>
      <w:szCs w:val="16"/>
    </w:rPr>
  </w:style>
  <w:style w:type="character" w:customStyle="1" w:styleId="Bodytext90">
    <w:name w:val="Body text (9)"/>
    <w:basedOn w:val="Bodytext9"/>
    <w:rsid w:val="00EF7193"/>
  </w:style>
  <w:style w:type="character" w:customStyle="1" w:styleId="Tablecaption">
    <w:name w:val="Table caption"/>
    <w:basedOn w:val="VarsaylanParagrafYazTipi"/>
    <w:rsid w:val="00072357"/>
    <w:rPr>
      <w:rFonts w:ascii="Book Antiqua" w:eastAsia="Book Antiqua" w:hAnsi="Book Antiqua" w:cs="Book Antiqua"/>
      <w:b w:val="0"/>
      <w:bCs w:val="0"/>
      <w:i w:val="0"/>
      <w:iCs w:val="0"/>
      <w:smallCaps w:val="0"/>
      <w:strike w:val="0"/>
      <w:spacing w:val="0"/>
      <w:sz w:val="17"/>
      <w:szCs w:val="1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aadet.org.tr" TargetMode="External"/><Relationship Id="rId4" Type="http://schemas.openxmlformats.org/officeDocument/2006/relationships/settings" Target="settings.xml"/><Relationship Id="rId9" Type="http://schemas.openxmlformats.org/officeDocument/2006/relationships/hyperlink" Target="http://www.saadet.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B180E-2F10-4A6D-9707-51BEE5A51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8</Pages>
  <Words>4225</Words>
  <Characters>24087</Characters>
  <Application>Microsoft Office Word</Application>
  <DocSecurity>0</DocSecurity>
  <Lines>200</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Feride</dc:creator>
  <cp:keywords/>
  <dc:description/>
  <cp:lastModifiedBy>Feride</cp:lastModifiedBy>
  <cp:revision>72</cp:revision>
  <cp:lastPrinted>2018-06-04T11:27:00Z</cp:lastPrinted>
  <dcterms:created xsi:type="dcterms:W3CDTF">2018-05-28T07:23:00Z</dcterms:created>
  <dcterms:modified xsi:type="dcterms:W3CDTF">2018-06-05T09:02:00Z</dcterms:modified>
</cp:coreProperties>
</file>