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48" w:rsidRDefault="001A0A3B" w:rsidP="00B51F48">
      <w:pPr>
        <w:spacing w:line="360" w:lineRule="auto"/>
        <w:ind w:left="793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-352425</wp:posOffset>
            </wp:positionV>
            <wp:extent cx="1340485" cy="1240155"/>
            <wp:effectExtent l="19050" t="0" r="0" b="0"/>
            <wp:wrapSquare wrapText="bothSides"/>
            <wp:docPr id="1" name="Picture 1" descr="macbook:Users:macbook:Desktop:bb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:Users:macbook:Desktop:bbb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44" t="6842" r="72857"/>
                    <a:stretch/>
                  </pic:blipFill>
                  <pic:spPr bwMode="auto">
                    <a:xfrm>
                      <a:off x="0" y="0"/>
                      <a:ext cx="13404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7735" w:rsidRPr="00B51F48" w:rsidRDefault="00691B66" w:rsidP="00B51F48">
      <w:pPr>
        <w:spacing w:line="360" w:lineRule="auto"/>
        <w:ind w:left="7938"/>
        <w:rPr>
          <w:b/>
        </w:rPr>
      </w:pPr>
      <w:r w:rsidRPr="00B51F48">
        <w:rPr>
          <w:b/>
        </w:rPr>
        <w:t xml:space="preserve">  </w:t>
      </w:r>
      <w:r w:rsidR="00D67735" w:rsidRPr="00B51F48">
        <w:rPr>
          <w:b/>
        </w:rPr>
        <w:t xml:space="preserve">  </w:t>
      </w:r>
      <w:r w:rsidR="004A2169" w:rsidRPr="00B51F48">
        <w:rPr>
          <w:b/>
        </w:rPr>
        <w:t xml:space="preserve">                </w:t>
      </w:r>
      <w:r w:rsidR="00D67735" w:rsidRPr="00B51F48">
        <w:rPr>
          <w:b/>
        </w:rPr>
        <w:t xml:space="preserve">   </w:t>
      </w:r>
      <w:r w:rsidR="004B4D6A" w:rsidRPr="00B51F48">
        <w:rPr>
          <w:b/>
        </w:rPr>
        <w:t xml:space="preserve">       </w:t>
      </w:r>
      <w:r w:rsidR="00E76A33" w:rsidRPr="00B51F48">
        <w:rPr>
          <w:b/>
        </w:rPr>
        <w:t xml:space="preserve">          </w:t>
      </w:r>
      <w:r w:rsidR="00AF4F9B" w:rsidRPr="00B51F48">
        <w:rPr>
          <w:b/>
        </w:rPr>
        <w:t xml:space="preserve">    </w:t>
      </w:r>
      <w:r w:rsidRPr="00B51F48">
        <w:rPr>
          <w:b/>
        </w:rPr>
        <w:t xml:space="preserve">   </w:t>
      </w:r>
    </w:p>
    <w:p w:rsidR="00B51F48" w:rsidRDefault="00917752" w:rsidP="00B51F48">
      <w:pPr>
        <w:pStyle w:val="ListeParagraf"/>
        <w:spacing w:line="360" w:lineRule="auto"/>
        <w:ind w:left="-142" w:firstLine="850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Pr="00917752">
        <w:rPr>
          <w:b/>
          <w:sz w:val="28"/>
          <w:szCs w:val="28"/>
        </w:rPr>
        <w:t>24.05.2018</w:t>
      </w:r>
    </w:p>
    <w:p w:rsidR="00917752" w:rsidRPr="00917752" w:rsidRDefault="00917752" w:rsidP="00B51F48">
      <w:pPr>
        <w:pStyle w:val="ListeParagraf"/>
        <w:spacing w:line="360" w:lineRule="auto"/>
        <w:ind w:left="-142" w:firstLine="850"/>
        <w:jc w:val="both"/>
        <w:rPr>
          <w:b/>
          <w:sz w:val="28"/>
          <w:szCs w:val="28"/>
        </w:rPr>
      </w:pPr>
    </w:p>
    <w:p w:rsidR="00B51F48" w:rsidRPr="00B51F48" w:rsidRDefault="00B51F48" w:rsidP="00917752">
      <w:pPr>
        <w:pStyle w:val="ListeParagraf"/>
        <w:numPr>
          <w:ilvl w:val="0"/>
          <w:numId w:val="9"/>
        </w:numPr>
        <w:tabs>
          <w:tab w:val="left" w:pos="709"/>
        </w:tabs>
        <w:spacing w:line="360" w:lineRule="auto"/>
        <w:ind w:left="709" w:firstLine="0"/>
        <w:jc w:val="both"/>
        <w:rPr>
          <w:sz w:val="36"/>
          <w:szCs w:val="36"/>
        </w:rPr>
      </w:pPr>
      <w:r w:rsidRPr="00B51F48">
        <w:rPr>
          <w:b/>
          <w:sz w:val="36"/>
          <w:szCs w:val="36"/>
        </w:rPr>
        <w:t>DIŞ BORÇ:</w:t>
      </w:r>
      <w:r w:rsidRPr="00B51F48">
        <w:rPr>
          <w:sz w:val="36"/>
          <w:szCs w:val="36"/>
        </w:rPr>
        <w:t xml:space="preserve"> </w:t>
      </w:r>
    </w:p>
    <w:p w:rsidR="00B51F48" w:rsidRPr="00B51F48" w:rsidRDefault="00B51F48" w:rsidP="00B51F48">
      <w:pPr>
        <w:pStyle w:val="ListeParagraf"/>
        <w:spacing w:line="360" w:lineRule="auto"/>
        <w:ind w:left="-142" w:firstLine="850"/>
        <w:jc w:val="both"/>
        <w:rPr>
          <w:sz w:val="36"/>
          <w:szCs w:val="36"/>
        </w:rPr>
      </w:pPr>
      <w:r w:rsidRPr="00B51F48">
        <w:rPr>
          <w:sz w:val="36"/>
          <w:szCs w:val="36"/>
        </w:rPr>
        <w:t>Dış borçların bir kısmı kamu sektörüne (Merkez Bankası dahil), bir kısmı da özel sektöre aittir. Kamu sektörüne ve özel sektöre ait dış borçların 2002 ile 2017 yıllarındaki durumu şöyledir: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551"/>
        <w:gridCol w:w="2268"/>
        <w:gridCol w:w="1843"/>
      </w:tblGrid>
      <w:tr w:rsidR="00B51F48" w:rsidRPr="00CE1DE7" w:rsidTr="00BB7613">
        <w:trPr>
          <w:trHeight w:val="642"/>
          <w:jc w:val="center"/>
        </w:trPr>
        <w:tc>
          <w:tcPr>
            <w:tcW w:w="1101" w:type="dxa"/>
          </w:tcPr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</w:p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  <w:r w:rsidRPr="00CB44A6">
              <w:rPr>
                <w:rFonts w:ascii="Arial" w:hAnsi="Arial" w:cs="Arial"/>
                <w:b/>
              </w:rPr>
              <w:t>Yıl</w:t>
            </w:r>
          </w:p>
        </w:tc>
        <w:tc>
          <w:tcPr>
            <w:tcW w:w="2551" w:type="dxa"/>
          </w:tcPr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</w:p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  <w:r w:rsidRPr="00CB44A6">
              <w:rPr>
                <w:rFonts w:ascii="Arial" w:hAnsi="Arial" w:cs="Arial"/>
                <w:b/>
              </w:rPr>
              <w:t xml:space="preserve">Kamu Sektörüne </w:t>
            </w:r>
            <w:r w:rsidR="00CB44A6">
              <w:rPr>
                <w:rFonts w:ascii="Arial" w:hAnsi="Arial" w:cs="Arial"/>
                <w:b/>
              </w:rPr>
              <w:t>A</w:t>
            </w:r>
            <w:r w:rsidRPr="00CB44A6">
              <w:rPr>
                <w:rFonts w:ascii="Arial" w:hAnsi="Arial" w:cs="Arial"/>
                <w:b/>
              </w:rPr>
              <w:t xml:space="preserve">it </w:t>
            </w:r>
          </w:p>
          <w:p w:rsidR="00B51F48" w:rsidRPr="00CB44A6" w:rsidRDefault="00CB44A6" w:rsidP="00F86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Dış Borç</w:t>
            </w:r>
            <w:r>
              <w:rPr>
                <w:rFonts w:ascii="Arial" w:hAnsi="Arial" w:cs="Arial"/>
                <w:b/>
              </w:rPr>
              <w:br/>
            </w:r>
            <w:r w:rsidR="00B51F48" w:rsidRPr="00CB44A6">
              <w:rPr>
                <w:rFonts w:ascii="Arial" w:hAnsi="Arial" w:cs="Arial"/>
                <w:b/>
              </w:rPr>
              <w:t>(Milyar Dolar)</w:t>
            </w:r>
          </w:p>
        </w:tc>
        <w:tc>
          <w:tcPr>
            <w:tcW w:w="2268" w:type="dxa"/>
          </w:tcPr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</w:p>
          <w:p w:rsidR="00B51F48" w:rsidRPr="00CB44A6" w:rsidRDefault="00CB44A6" w:rsidP="00F86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Özel Sektöre A</w:t>
            </w:r>
            <w:r w:rsidR="00B51F48" w:rsidRPr="00CB44A6">
              <w:rPr>
                <w:rFonts w:ascii="Arial" w:hAnsi="Arial" w:cs="Arial"/>
                <w:b/>
              </w:rPr>
              <w:t xml:space="preserve">it </w:t>
            </w:r>
          </w:p>
          <w:p w:rsidR="00B51F48" w:rsidRPr="00CB44A6" w:rsidRDefault="00CB44A6" w:rsidP="00F86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Dış Borç</w:t>
            </w:r>
            <w:r>
              <w:rPr>
                <w:rFonts w:ascii="Arial" w:hAnsi="Arial" w:cs="Arial"/>
                <w:b/>
              </w:rPr>
              <w:br/>
            </w:r>
            <w:r w:rsidR="00B51F48" w:rsidRPr="00CB44A6">
              <w:rPr>
                <w:rFonts w:ascii="Arial" w:hAnsi="Arial" w:cs="Arial"/>
                <w:b/>
              </w:rPr>
              <w:t>(Milyar Dolar)</w:t>
            </w:r>
          </w:p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</w:p>
          <w:p w:rsidR="00B51F48" w:rsidRPr="00CB44A6" w:rsidRDefault="00B51F48" w:rsidP="00F869B9">
            <w:pPr>
              <w:jc w:val="center"/>
              <w:rPr>
                <w:rFonts w:ascii="Arial" w:hAnsi="Arial" w:cs="Arial"/>
                <w:b/>
              </w:rPr>
            </w:pPr>
            <w:r w:rsidRPr="00CB44A6">
              <w:rPr>
                <w:rFonts w:ascii="Arial" w:hAnsi="Arial" w:cs="Arial"/>
                <w:b/>
              </w:rPr>
              <w:t xml:space="preserve">Toplam </w:t>
            </w:r>
          </w:p>
          <w:p w:rsidR="00B51F48" w:rsidRPr="00CB44A6" w:rsidRDefault="00B51F48" w:rsidP="00CB44A6">
            <w:pPr>
              <w:jc w:val="center"/>
              <w:rPr>
                <w:rFonts w:ascii="Arial" w:hAnsi="Arial" w:cs="Arial"/>
                <w:b/>
              </w:rPr>
            </w:pPr>
            <w:r w:rsidRPr="00CB44A6">
              <w:rPr>
                <w:rFonts w:ascii="Arial" w:hAnsi="Arial" w:cs="Arial"/>
                <w:b/>
              </w:rPr>
              <w:t>Dış Borç</w:t>
            </w:r>
            <w:r w:rsidR="00CB44A6">
              <w:rPr>
                <w:rFonts w:ascii="Arial" w:hAnsi="Arial" w:cs="Arial"/>
                <w:b/>
              </w:rPr>
              <w:br/>
            </w:r>
            <w:r w:rsidRPr="00CB44A6">
              <w:rPr>
                <w:rFonts w:ascii="Arial" w:hAnsi="Arial" w:cs="Arial"/>
                <w:b/>
              </w:rPr>
              <w:t>(Milyar Dolar)</w:t>
            </w:r>
          </w:p>
        </w:tc>
      </w:tr>
      <w:tr w:rsidR="00B51F48" w:rsidRPr="00CE1DE7" w:rsidTr="00BB7613">
        <w:trPr>
          <w:trHeight w:val="203"/>
          <w:jc w:val="center"/>
        </w:trPr>
        <w:tc>
          <w:tcPr>
            <w:tcW w:w="1101" w:type="dxa"/>
            <w:vAlign w:val="bottom"/>
          </w:tcPr>
          <w:p w:rsidR="00B51F48" w:rsidRPr="00CE1DE7" w:rsidRDefault="00B51F48" w:rsidP="00CB44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2002</w:t>
            </w:r>
          </w:p>
        </w:tc>
        <w:tc>
          <w:tcPr>
            <w:tcW w:w="2551" w:type="dxa"/>
            <w:vAlign w:val="bottom"/>
          </w:tcPr>
          <w:p w:rsidR="00B51F48" w:rsidRPr="00CE1DE7" w:rsidRDefault="00B51F48" w:rsidP="00CB44A6">
            <w:pPr>
              <w:spacing w:before="120" w:after="120"/>
              <w:ind w:right="884"/>
              <w:jc w:val="right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86.5</w:t>
            </w:r>
          </w:p>
        </w:tc>
        <w:tc>
          <w:tcPr>
            <w:tcW w:w="2268" w:type="dxa"/>
            <w:vAlign w:val="bottom"/>
          </w:tcPr>
          <w:p w:rsidR="00B51F48" w:rsidRPr="00CE1DE7" w:rsidRDefault="00B51F48" w:rsidP="00CB44A6">
            <w:pPr>
              <w:spacing w:before="120" w:after="120"/>
              <w:ind w:right="742"/>
              <w:jc w:val="right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43.1</w:t>
            </w:r>
          </w:p>
        </w:tc>
        <w:tc>
          <w:tcPr>
            <w:tcW w:w="1843" w:type="dxa"/>
            <w:vAlign w:val="bottom"/>
          </w:tcPr>
          <w:p w:rsidR="00B51F48" w:rsidRPr="00CE1DE7" w:rsidRDefault="00B51F48" w:rsidP="00CB44A6">
            <w:pPr>
              <w:spacing w:before="120" w:after="120"/>
              <w:ind w:right="459"/>
              <w:jc w:val="right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129.6</w:t>
            </w:r>
          </w:p>
        </w:tc>
      </w:tr>
      <w:tr w:rsidR="00B51F48" w:rsidRPr="00CE1DE7" w:rsidTr="00BB7613">
        <w:trPr>
          <w:trHeight w:val="422"/>
          <w:jc w:val="center"/>
        </w:trPr>
        <w:tc>
          <w:tcPr>
            <w:tcW w:w="1101" w:type="dxa"/>
            <w:vAlign w:val="bottom"/>
          </w:tcPr>
          <w:p w:rsidR="00B51F48" w:rsidRPr="00CB44A6" w:rsidRDefault="00B51F48" w:rsidP="00CB44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B44A6">
              <w:rPr>
                <w:rFonts w:ascii="Arial" w:hAnsi="Arial" w:cs="Arial"/>
              </w:rPr>
              <w:t>2017</w:t>
            </w:r>
          </w:p>
        </w:tc>
        <w:tc>
          <w:tcPr>
            <w:tcW w:w="2551" w:type="dxa"/>
            <w:vAlign w:val="bottom"/>
          </w:tcPr>
          <w:p w:rsidR="00B51F48" w:rsidRPr="00CE1DE7" w:rsidRDefault="00B51F48" w:rsidP="00CB44A6">
            <w:pPr>
              <w:spacing w:before="120" w:after="120"/>
              <w:ind w:right="884"/>
              <w:jc w:val="right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136.8</w:t>
            </w:r>
          </w:p>
        </w:tc>
        <w:tc>
          <w:tcPr>
            <w:tcW w:w="2268" w:type="dxa"/>
            <w:vAlign w:val="bottom"/>
          </w:tcPr>
          <w:p w:rsidR="00B51F48" w:rsidRPr="00CE1DE7" w:rsidRDefault="00B51F48" w:rsidP="00CB44A6">
            <w:pPr>
              <w:spacing w:before="120" w:after="120"/>
              <w:ind w:right="742"/>
              <w:jc w:val="right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316.4</w:t>
            </w:r>
          </w:p>
        </w:tc>
        <w:tc>
          <w:tcPr>
            <w:tcW w:w="1843" w:type="dxa"/>
            <w:vAlign w:val="bottom"/>
          </w:tcPr>
          <w:p w:rsidR="00B51F48" w:rsidRPr="00CE1DE7" w:rsidRDefault="00B51F48" w:rsidP="00CB44A6">
            <w:pPr>
              <w:spacing w:before="120" w:after="120"/>
              <w:ind w:right="459"/>
              <w:jc w:val="right"/>
              <w:rPr>
                <w:rFonts w:ascii="Arial" w:hAnsi="Arial" w:cs="Arial"/>
              </w:rPr>
            </w:pPr>
            <w:r w:rsidRPr="00CE1DE7">
              <w:rPr>
                <w:rFonts w:ascii="Arial" w:hAnsi="Arial" w:cs="Arial"/>
              </w:rPr>
              <w:t>453.2</w:t>
            </w:r>
          </w:p>
        </w:tc>
      </w:tr>
    </w:tbl>
    <w:p w:rsidR="00B51F48" w:rsidRPr="00CE1DE7" w:rsidRDefault="00B51F48" w:rsidP="00B51F48">
      <w:pPr>
        <w:pStyle w:val="ListeParagraf"/>
        <w:spacing w:line="360" w:lineRule="auto"/>
        <w:ind w:left="0" w:firstLine="709"/>
        <w:jc w:val="both"/>
        <w:rPr>
          <w:sz w:val="24"/>
          <w:szCs w:val="24"/>
        </w:rPr>
      </w:pPr>
    </w:p>
    <w:p w:rsidR="00B51F48" w:rsidRPr="00B51F48" w:rsidRDefault="00B51F48" w:rsidP="00B51F48">
      <w:pPr>
        <w:pStyle w:val="ListeParagraf"/>
        <w:spacing w:line="360" w:lineRule="auto"/>
        <w:ind w:left="0" w:firstLine="709"/>
        <w:jc w:val="both"/>
        <w:rPr>
          <w:sz w:val="36"/>
          <w:szCs w:val="36"/>
        </w:rPr>
      </w:pPr>
      <w:r w:rsidRPr="00B51F48">
        <w:rPr>
          <w:sz w:val="36"/>
          <w:szCs w:val="36"/>
        </w:rPr>
        <w:t xml:space="preserve">Görüldüğü gibi, kamu sektörüne ve özel sektöre ait dış borçlar yıllar itibari ile artmıştır. Tabii kamu sektörüne ve özel sektöre ait dış borçlar artınca toplam dış borç miktarı da artmıştır. </w:t>
      </w:r>
      <w:r w:rsidRPr="00B51F48">
        <w:rPr>
          <w:b/>
          <w:sz w:val="36"/>
          <w:szCs w:val="36"/>
        </w:rPr>
        <w:t xml:space="preserve">2002 yılında 129.6 milyar dolar olan toplam dış borç miktarı 2017 yılı sonunda 453.2 milyar dolara ulaşmıştır. Evet, 2002 yılında 129.6 milyar dolar olan ülkemizin toplam dış borcu 15 yılda % 250 artarak 2017 yılı sonunda 453.2 milyar dolar olmuştur. </w:t>
      </w:r>
      <w:r w:rsidRPr="00B51F48">
        <w:rPr>
          <w:sz w:val="36"/>
          <w:szCs w:val="36"/>
        </w:rPr>
        <w:t>Ama AK Partili yöneticiler halkımıza ülkemizin dış borçlarından hiç bahsetmemektedirler. Son bir yılda Toplam Dış Borç 45 milyar dolar artmıştır ki bu durum hayra alamet değildir.</w:t>
      </w:r>
    </w:p>
    <w:p w:rsidR="00B51F48" w:rsidRDefault="00B51F48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F70EAF" w:rsidRDefault="00F70EAF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F70EAF" w:rsidRDefault="00F70EAF" w:rsidP="001B166E">
      <w:pPr>
        <w:spacing w:line="240" w:lineRule="exact"/>
        <w:ind w:left="993" w:hanging="993"/>
        <w:rPr>
          <w:rStyle w:val="Tablecaption"/>
          <w:sz w:val="24"/>
          <w:szCs w:val="24"/>
        </w:rPr>
      </w:pPr>
      <w:r w:rsidRPr="001B166E">
        <w:rPr>
          <w:rStyle w:val="Tablecaption"/>
          <w:sz w:val="24"/>
          <w:szCs w:val="24"/>
        </w:rPr>
        <w:t>Tablo 1: Yıllar itibariyle Türkiye'nin Kamu Sektörüne</w:t>
      </w:r>
      <w:r w:rsidR="001B166E">
        <w:rPr>
          <w:rStyle w:val="Tablecaption"/>
          <w:sz w:val="24"/>
          <w:szCs w:val="24"/>
        </w:rPr>
        <w:br/>
      </w:r>
      <w:r w:rsidRPr="001B166E">
        <w:rPr>
          <w:rStyle w:val="Tablecaption"/>
          <w:sz w:val="24"/>
          <w:szCs w:val="24"/>
        </w:rPr>
        <w:t>(T.C. Merkez Bankası Dâhil) ve Özel Sektöre Ait Dış Borçları ile Toplam Dış Borç Durumu (Milyar Dolar)</w:t>
      </w:r>
    </w:p>
    <w:p w:rsidR="001B166E" w:rsidRPr="001B166E" w:rsidRDefault="001B166E" w:rsidP="001B166E">
      <w:pPr>
        <w:spacing w:line="240" w:lineRule="exact"/>
        <w:ind w:left="993" w:hanging="993"/>
      </w:pPr>
    </w:p>
    <w:tbl>
      <w:tblPr>
        <w:tblW w:w="0" w:type="auto"/>
        <w:jc w:val="center"/>
        <w:tblInd w:w="-6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6"/>
        <w:gridCol w:w="1418"/>
        <w:gridCol w:w="1435"/>
        <w:gridCol w:w="1202"/>
      </w:tblGrid>
      <w:tr w:rsidR="00F70EAF" w:rsidRPr="001B166E" w:rsidTr="001B166E">
        <w:trPr>
          <w:trHeight w:val="61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240" w:after="120" w:line="40" w:lineRule="atLeast"/>
              <w:ind w:hanging="36"/>
              <w:jc w:val="center"/>
              <w:rPr>
                <w:b/>
              </w:rPr>
            </w:pPr>
            <w:r w:rsidRPr="001B166E">
              <w:rPr>
                <w:rStyle w:val="Bodytext14"/>
                <w:b/>
                <w:sz w:val="24"/>
                <w:szCs w:val="24"/>
              </w:rPr>
              <w:t>Yıllar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120" w:after="120" w:line="40" w:lineRule="atLeast"/>
              <w:jc w:val="center"/>
              <w:rPr>
                <w:b/>
              </w:rPr>
            </w:pPr>
            <w:r w:rsidRPr="001B166E">
              <w:rPr>
                <w:rStyle w:val="Bodytext14"/>
                <w:b/>
                <w:sz w:val="24"/>
                <w:szCs w:val="24"/>
              </w:rPr>
              <w:t>Kamu Sektörü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1B166E" w:rsidP="001B166E">
            <w:pPr>
              <w:spacing w:before="120" w:after="120" w:line="40" w:lineRule="atLeast"/>
              <w:ind w:right="21"/>
              <w:jc w:val="center"/>
              <w:rPr>
                <w:b/>
              </w:rPr>
            </w:pPr>
            <w:r>
              <w:rPr>
                <w:rStyle w:val="Bodytext14"/>
                <w:b/>
                <w:sz w:val="24"/>
                <w:szCs w:val="24"/>
              </w:rPr>
              <w:t>Özel</w:t>
            </w:r>
            <w:r>
              <w:rPr>
                <w:rStyle w:val="Bodytext14"/>
                <w:b/>
                <w:sz w:val="24"/>
                <w:szCs w:val="24"/>
              </w:rPr>
              <w:br/>
            </w:r>
            <w:r w:rsidR="00F70EAF" w:rsidRPr="001B166E">
              <w:rPr>
                <w:rStyle w:val="Bodytext14"/>
                <w:b/>
                <w:sz w:val="24"/>
                <w:szCs w:val="24"/>
              </w:rPr>
              <w:t>Sektör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240" w:after="120" w:line="40" w:lineRule="atLeast"/>
              <w:jc w:val="center"/>
              <w:rPr>
                <w:b/>
              </w:rPr>
            </w:pPr>
            <w:r w:rsidRPr="001B166E">
              <w:rPr>
                <w:rStyle w:val="Bodytext14"/>
                <w:b/>
                <w:sz w:val="24"/>
                <w:szCs w:val="24"/>
              </w:rPr>
              <w:t>Toplam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</w:pPr>
            <w:r w:rsidRPr="001B166E">
              <w:rPr>
                <w:rStyle w:val="Bodytext11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</w:pPr>
            <w:r w:rsidRPr="001B166E">
              <w:rPr>
                <w:rStyle w:val="Bodytext11"/>
                <w:sz w:val="24"/>
                <w:szCs w:val="24"/>
              </w:rPr>
              <w:t>64.2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</w:pPr>
            <w:r w:rsidRPr="001B166E">
              <w:rPr>
                <w:rStyle w:val="Bodytext11"/>
                <w:sz w:val="24"/>
                <w:szCs w:val="24"/>
              </w:rPr>
              <w:t>54.4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</w:pPr>
            <w:r w:rsidRPr="001B166E">
              <w:rPr>
                <w:rStyle w:val="Bodytext11"/>
                <w:sz w:val="24"/>
                <w:szCs w:val="24"/>
              </w:rPr>
              <w:t>118.6</w:t>
            </w:r>
          </w:p>
        </w:tc>
      </w:tr>
      <w:tr w:rsidR="00F70EAF" w:rsidRPr="001B166E" w:rsidTr="001E2CAE">
        <w:trPr>
          <w:trHeight w:val="29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71.5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42.1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113.6</w:t>
            </w:r>
          </w:p>
        </w:tc>
      </w:tr>
      <w:tr w:rsidR="00F70EAF" w:rsidRPr="001B166E" w:rsidTr="001E2CAE">
        <w:trPr>
          <w:trHeight w:val="33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86.5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43.1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129.6</w:t>
            </w:r>
          </w:p>
        </w:tc>
      </w:tr>
      <w:tr w:rsidR="00F70EAF" w:rsidRPr="001B166E" w:rsidTr="001E2CAE">
        <w:trPr>
          <w:trHeight w:val="322"/>
          <w:jc w:val="center"/>
        </w:trPr>
        <w:tc>
          <w:tcPr>
            <w:tcW w:w="110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95.2</w:t>
            </w:r>
          </w:p>
        </w:tc>
        <w:tc>
          <w:tcPr>
            <w:tcW w:w="14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48.9</w:t>
            </w:r>
          </w:p>
        </w:tc>
        <w:tc>
          <w:tcPr>
            <w:tcW w:w="12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144.1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97.0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64.1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161.1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85.8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84.9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170.7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87.3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120.7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208.0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89.3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160.6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249.9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92.4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188.4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280.8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96.7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172.0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268.7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100.6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191.0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291.6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103.6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200.1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303.7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111.1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228.4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339.5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121</w:t>
            </w:r>
            <w:r w:rsidR="001A0A3B">
              <w:rPr>
                <w:rStyle w:val="Bodytext11"/>
                <w:sz w:val="24"/>
                <w:szCs w:val="24"/>
              </w:rPr>
              <w:t>.</w:t>
            </w:r>
            <w:r w:rsidRPr="001B166E">
              <w:rPr>
                <w:rStyle w:val="Bodytext11"/>
                <w:sz w:val="24"/>
                <w:szCs w:val="24"/>
              </w:rPr>
              <w:t xml:space="preserve">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268.6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389.8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120.2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281.7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401.9</w:t>
            </w:r>
          </w:p>
        </w:tc>
      </w:tr>
      <w:tr w:rsidR="00F70EAF" w:rsidRPr="001B166E" w:rsidTr="001B166E">
        <w:trPr>
          <w:trHeight w:val="30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114.5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281.6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396.1</w:t>
            </w:r>
          </w:p>
        </w:tc>
      </w:tr>
      <w:tr w:rsidR="00F70EAF" w:rsidRPr="001B166E" w:rsidTr="001B166E">
        <w:trPr>
          <w:trHeight w:val="2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120.0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284.2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A0A3B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40</w:t>
            </w:r>
            <w:r w:rsidR="001A0A3B">
              <w:rPr>
                <w:rStyle w:val="Bodytext11"/>
                <w:sz w:val="24"/>
                <w:szCs w:val="24"/>
              </w:rPr>
              <w:t>8</w:t>
            </w:r>
            <w:r w:rsidRPr="001B166E">
              <w:rPr>
                <w:rStyle w:val="Bodytext11"/>
                <w:sz w:val="24"/>
                <w:szCs w:val="24"/>
              </w:rPr>
              <w:t>.2</w:t>
            </w:r>
          </w:p>
        </w:tc>
      </w:tr>
      <w:tr w:rsidR="00F70EAF" w:rsidRPr="001B166E" w:rsidTr="001B166E">
        <w:trPr>
          <w:trHeight w:val="34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hanging="36"/>
              <w:jc w:val="center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136.8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right="433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316.4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B166E" w:rsidRDefault="00F70EAF" w:rsidP="001B166E">
            <w:pPr>
              <w:spacing w:before="60" w:after="60"/>
              <w:ind w:left="260" w:right="300"/>
              <w:jc w:val="right"/>
              <w:rPr>
                <w:rStyle w:val="Bodytext11"/>
                <w:sz w:val="24"/>
                <w:szCs w:val="24"/>
              </w:rPr>
            </w:pPr>
            <w:r w:rsidRPr="001B166E">
              <w:rPr>
                <w:rStyle w:val="Bodytext11"/>
                <w:sz w:val="24"/>
                <w:szCs w:val="24"/>
              </w:rPr>
              <w:t>453.2</w:t>
            </w:r>
          </w:p>
        </w:tc>
      </w:tr>
    </w:tbl>
    <w:p w:rsidR="001B166E" w:rsidRDefault="001B166E" w:rsidP="00F70EAF">
      <w:pPr>
        <w:spacing w:line="216" w:lineRule="exact"/>
        <w:jc w:val="center"/>
        <w:rPr>
          <w:rStyle w:val="Tablecaption"/>
          <w:sz w:val="24"/>
          <w:szCs w:val="24"/>
        </w:rPr>
      </w:pPr>
    </w:p>
    <w:p w:rsidR="00F70EAF" w:rsidRPr="001B166E" w:rsidRDefault="00F70EAF" w:rsidP="001B166E">
      <w:pPr>
        <w:spacing w:line="280" w:lineRule="exact"/>
        <w:ind w:left="993" w:hanging="993"/>
        <w:rPr>
          <w:rStyle w:val="Tablecaption"/>
          <w:sz w:val="24"/>
          <w:szCs w:val="24"/>
        </w:rPr>
      </w:pPr>
      <w:r w:rsidRPr="001B166E">
        <w:rPr>
          <w:rStyle w:val="Tablecaption"/>
          <w:sz w:val="24"/>
          <w:szCs w:val="24"/>
        </w:rPr>
        <w:t>Kaynak:</w:t>
      </w:r>
      <w:hyperlink r:id="rId9" w:history="1">
        <w:r w:rsidRPr="001B166E">
          <w:rPr>
            <w:rStyle w:val="Tablecaption"/>
            <w:sz w:val="24"/>
            <w:szCs w:val="24"/>
          </w:rPr>
          <w:t xml:space="preserve"> www.hazine.gov.tr</w:t>
        </w:r>
      </w:hyperlink>
    </w:p>
    <w:p w:rsidR="00F70EAF" w:rsidRPr="001B166E" w:rsidRDefault="00F70EAF" w:rsidP="001B166E">
      <w:pPr>
        <w:spacing w:line="280" w:lineRule="exact"/>
        <w:rPr>
          <w:rStyle w:val="Tablecaption"/>
          <w:sz w:val="24"/>
          <w:szCs w:val="24"/>
        </w:rPr>
      </w:pPr>
      <w:r w:rsidRPr="001B166E">
        <w:rPr>
          <w:rStyle w:val="Tablecaption"/>
          <w:sz w:val="24"/>
          <w:szCs w:val="24"/>
        </w:rPr>
        <w:t xml:space="preserve">İstatistikler-Kamu Finansmanı İstatistikleri-Türkiye Dış </w:t>
      </w:r>
      <w:r w:rsidR="001B166E">
        <w:rPr>
          <w:rStyle w:val="Tablecaption"/>
          <w:sz w:val="24"/>
          <w:szCs w:val="24"/>
        </w:rPr>
        <w:t xml:space="preserve">Borç İstatistikleri-Türkiye Dış </w:t>
      </w:r>
      <w:r w:rsidRPr="001B166E">
        <w:rPr>
          <w:rStyle w:val="Tablecaption"/>
          <w:sz w:val="24"/>
          <w:szCs w:val="24"/>
        </w:rPr>
        <w:t>Borç Stoku İstatistikleri</w:t>
      </w:r>
    </w:p>
    <w:p w:rsidR="00F70EAF" w:rsidRPr="001B166E" w:rsidRDefault="00F70EAF" w:rsidP="00F70EAF"/>
    <w:p w:rsidR="00F70EAF" w:rsidRDefault="00F70EAF" w:rsidP="00F70EAF"/>
    <w:p w:rsidR="00F70EAF" w:rsidRDefault="00F70EAF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F70EAF" w:rsidRDefault="00F70EAF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F70EAF" w:rsidRDefault="00F70EAF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F70EAF" w:rsidRDefault="00F70EAF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F70EAF" w:rsidRDefault="00F70EAF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1A0A3B" w:rsidRDefault="001A0A3B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1A0A3B" w:rsidRDefault="001A0A3B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B51F48" w:rsidRDefault="00B51F48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B51F48" w:rsidRPr="00B51F48" w:rsidRDefault="00B51F48" w:rsidP="00BD7157">
      <w:pPr>
        <w:pStyle w:val="ListeParagraf"/>
        <w:numPr>
          <w:ilvl w:val="0"/>
          <w:numId w:val="9"/>
        </w:numPr>
        <w:tabs>
          <w:tab w:val="left" w:pos="284"/>
          <w:tab w:val="left" w:pos="709"/>
        </w:tabs>
        <w:spacing w:after="200" w:line="360" w:lineRule="auto"/>
        <w:ind w:hanging="784"/>
        <w:jc w:val="both"/>
        <w:rPr>
          <w:b/>
          <w:sz w:val="36"/>
          <w:szCs w:val="36"/>
        </w:rPr>
      </w:pPr>
      <w:r w:rsidRPr="00B51F48">
        <w:rPr>
          <w:b/>
          <w:sz w:val="36"/>
          <w:szCs w:val="36"/>
        </w:rPr>
        <w:t xml:space="preserve">TOPLAM BORÇ: </w:t>
      </w:r>
    </w:p>
    <w:p w:rsidR="00757918" w:rsidRPr="00B51F48" w:rsidRDefault="00B51F48" w:rsidP="00B51F48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sz w:val="36"/>
          <w:szCs w:val="36"/>
        </w:rPr>
      </w:pPr>
      <w:r w:rsidRPr="00B51F48">
        <w:rPr>
          <w:sz w:val="36"/>
          <w:szCs w:val="36"/>
        </w:rPr>
        <w:tab/>
      </w:r>
      <w:r w:rsidR="007E6640" w:rsidRPr="00B51F48">
        <w:rPr>
          <w:sz w:val="36"/>
          <w:szCs w:val="36"/>
        </w:rPr>
        <w:t xml:space="preserve">Borçlarla ilgili 2017 yılına ait verilerin </w:t>
      </w:r>
      <w:r w:rsidR="00757918" w:rsidRPr="00B51F48">
        <w:rPr>
          <w:sz w:val="36"/>
          <w:szCs w:val="36"/>
        </w:rPr>
        <w:t>4</w:t>
      </w:r>
      <w:r w:rsidR="007E6640" w:rsidRPr="00B51F48">
        <w:rPr>
          <w:sz w:val="36"/>
          <w:szCs w:val="36"/>
        </w:rPr>
        <w:t>. çeyrek rakamları açıklan</w:t>
      </w:r>
      <w:r w:rsidR="00757918" w:rsidRPr="00B51F48">
        <w:rPr>
          <w:sz w:val="36"/>
          <w:szCs w:val="36"/>
        </w:rPr>
        <w:t>dı. Ülkemizin 2002 ile 2017 yıllarındaki borç durumu şöyledir: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56"/>
        <w:gridCol w:w="1818"/>
        <w:gridCol w:w="1970"/>
        <w:gridCol w:w="1901"/>
      </w:tblGrid>
      <w:tr w:rsidR="00757918" w:rsidRPr="00173FE7" w:rsidTr="00A10FB5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</w:p>
          <w:p w:rsidR="00757918" w:rsidRPr="00173FE7" w:rsidRDefault="00757918" w:rsidP="00173FE7">
            <w:pPr>
              <w:spacing w:before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  <w:b/>
              </w:rPr>
              <w:t>Yıl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  <w:b/>
              </w:rPr>
              <w:t>Dış Borç</w:t>
            </w: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  <w:b/>
              </w:rPr>
              <w:t>(Milyar Dolar)</w:t>
            </w: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  <w:b/>
              </w:rPr>
              <w:t>İç Borç</w:t>
            </w: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  <w:b/>
              </w:rPr>
              <w:t>(Milyar TL)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  <w:b/>
              </w:rPr>
              <w:t xml:space="preserve">İç Borç* </w:t>
            </w: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  <w:b/>
              </w:rPr>
              <w:t>(Milyar Dolar)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  <w:b/>
              </w:rPr>
              <w:t>Toplam Borç</w:t>
            </w:r>
          </w:p>
          <w:p w:rsidR="00757918" w:rsidRPr="00173FE7" w:rsidRDefault="00757918" w:rsidP="00A10FB5">
            <w:pPr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  <w:b/>
              </w:rPr>
              <w:t>(Milyar</w:t>
            </w:r>
            <w:r w:rsidRPr="00173FE7">
              <w:rPr>
                <w:rFonts w:ascii="Arial" w:hAnsi="Arial" w:cs="Arial"/>
              </w:rPr>
              <w:t xml:space="preserve"> </w:t>
            </w:r>
            <w:r w:rsidRPr="00173FE7">
              <w:rPr>
                <w:rFonts w:ascii="Arial" w:hAnsi="Arial" w:cs="Arial"/>
                <w:b/>
              </w:rPr>
              <w:t>Dolar)</w:t>
            </w:r>
          </w:p>
        </w:tc>
      </w:tr>
      <w:tr w:rsidR="00757918" w:rsidRPr="00173FE7" w:rsidTr="00A10FB5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2002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129.6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155.2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 xml:space="preserve"> 102.6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232.2</w:t>
            </w:r>
          </w:p>
        </w:tc>
      </w:tr>
      <w:tr w:rsidR="00757918" w:rsidRPr="00173FE7" w:rsidTr="00A10FB5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73FE7">
              <w:rPr>
                <w:rFonts w:ascii="Arial" w:hAnsi="Arial" w:cs="Arial"/>
              </w:rPr>
              <w:t>2017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4</w:t>
            </w:r>
            <w:r w:rsidR="00EE1387" w:rsidRPr="00173FE7">
              <w:rPr>
                <w:rFonts w:ascii="Arial" w:hAnsi="Arial" w:cs="Arial"/>
              </w:rPr>
              <w:t>53</w:t>
            </w:r>
            <w:r w:rsidRPr="00173FE7">
              <w:rPr>
                <w:rFonts w:ascii="Arial" w:hAnsi="Arial" w:cs="Arial"/>
              </w:rPr>
              <w:t>.</w:t>
            </w:r>
            <w:r w:rsidR="00EE1387" w:rsidRPr="00173FE7">
              <w:rPr>
                <w:rFonts w:ascii="Arial" w:hAnsi="Arial" w:cs="Arial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EE1387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596.6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757918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 xml:space="preserve">    16</w:t>
            </w:r>
            <w:r w:rsidR="00EE1387" w:rsidRPr="00173FE7">
              <w:rPr>
                <w:rFonts w:ascii="Arial" w:hAnsi="Arial" w:cs="Arial"/>
              </w:rPr>
              <w:t>3</w:t>
            </w:r>
            <w:r w:rsidRPr="00173FE7">
              <w:rPr>
                <w:rFonts w:ascii="Arial" w:hAnsi="Arial" w:cs="Arial"/>
              </w:rPr>
              <w:t>.5**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8" w:rsidRPr="00173FE7" w:rsidRDefault="00EE1387" w:rsidP="00173F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73FE7">
              <w:rPr>
                <w:rFonts w:ascii="Arial" w:hAnsi="Arial" w:cs="Arial"/>
              </w:rPr>
              <w:t>616.7</w:t>
            </w:r>
          </w:p>
        </w:tc>
      </w:tr>
    </w:tbl>
    <w:p w:rsidR="00173FE7" w:rsidRDefault="00757918" w:rsidP="00757918">
      <w:pPr>
        <w:pStyle w:val="ListeParagraf"/>
        <w:spacing w:line="360" w:lineRule="auto"/>
        <w:ind w:left="-142" w:firstLine="142"/>
        <w:jc w:val="both"/>
        <w:rPr>
          <w:sz w:val="24"/>
          <w:szCs w:val="24"/>
        </w:rPr>
      </w:pPr>
      <w:r w:rsidRPr="00173FE7">
        <w:rPr>
          <w:sz w:val="24"/>
          <w:szCs w:val="24"/>
        </w:rPr>
        <w:t xml:space="preserve"> </w:t>
      </w:r>
    </w:p>
    <w:p w:rsidR="00757918" w:rsidRPr="00173FE7" w:rsidRDefault="00757918" w:rsidP="00757918">
      <w:pPr>
        <w:pStyle w:val="ListeParagraf"/>
        <w:spacing w:line="360" w:lineRule="auto"/>
        <w:ind w:left="-142" w:firstLine="142"/>
        <w:jc w:val="both"/>
        <w:rPr>
          <w:sz w:val="24"/>
          <w:szCs w:val="24"/>
        </w:rPr>
      </w:pPr>
      <w:r w:rsidRPr="00173FE7">
        <w:rPr>
          <w:sz w:val="24"/>
          <w:szCs w:val="24"/>
        </w:rPr>
        <w:t>*TL olarak verilen iç borç döviz kuruna bölünerek tarafımızdan hesaplanmıştır.</w:t>
      </w:r>
    </w:p>
    <w:p w:rsidR="00757918" w:rsidRPr="00173FE7" w:rsidRDefault="00757918" w:rsidP="00757918">
      <w:pPr>
        <w:pStyle w:val="ListeParagraf"/>
        <w:spacing w:line="360" w:lineRule="auto"/>
        <w:ind w:left="-142" w:firstLine="142"/>
        <w:jc w:val="both"/>
        <w:rPr>
          <w:sz w:val="24"/>
          <w:szCs w:val="24"/>
        </w:rPr>
      </w:pPr>
      <w:r w:rsidRPr="00173FE7">
        <w:rPr>
          <w:sz w:val="24"/>
          <w:szCs w:val="24"/>
        </w:rPr>
        <w:t>** Dolar kurundaki aşırı yükselmeden dolayı dolar bazında İç Borç</w:t>
      </w:r>
      <w:r w:rsidR="00D22A2F" w:rsidRPr="00173FE7">
        <w:rPr>
          <w:sz w:val="24"/>
          <w:szCs w:val="24"/>
        </w:rPr>
        <w:t xml:space="preserve"> bir önceki yıla göre </w:t>
      </w:r>
      <w:r w:rsidRPr="00173FE7">
        <w:rPr>
          <w:sz w:val="24"/>
          <w:szCs w:val="24"/>
        </w:rPr>
        <w:t>azalmıştır.</w:t>
      </w:r>
    </w:p>
    <w:p w:rsidR="00757918" w:rsidRPr="00173FE7" w:rsidRDefault="00757918" w:rsidP="00757918">
      <w:pPr>
        <w:pStyle w:val="ListeParagraf"/>
        <w:spacing w:line="360" w:lineRule="auto"/>
        <w:ind w:left="-142" w:firstLine="142"/>
        <w:jc w:val="both"/>
        <w:rPr>
          <w:sz w:val="24"/>
          <w:szCs w:val="24"/>
        </w:rPr>
      </w:pPr>
    </w:p>
    <w:p w:rsidR="00757918" w:rsidRDefault="00757918" w:rsidP="00757918">
      <w:pPr>
        <w:pStyle w:val="ListeParagraf"/>
        <w:spacing w:line="360" w:lineRule="auto"/>
        <w:ind w:left="-142" w:firstLine="142"/>
        <w:jc w:val="both"/>
        <w:rPr>
          <w:b/>
          <w:sz w:val="36"/>
          <w:szCs w:val="36"/>
        </w:rPr>
      </w:pPr>
      <w:r w:rsidRPr="00776C66">
        <w:rPr>
          <w:sz w:val="16"/>
          <w:szCs w:val="16"/>
        </w:rPr>
        <w:tab/>
      </w:r>
      <w:r w:rsidRPr="00B51F48">
        <w:rPr>
          <w:sz w:val="36"/>
          <w:szCs w:val="36"/>
        </w:rPr>
        <w:t xml:space="preserve">Görüldüğü gibi, ülkemizin hem dış borcu hem de iç borcu yıllar itibari ile artmıştır. Toplam borcu da bu artışlara paralel olarak artmıştır. </w:t>
      </w:r>
      <w:r w:rsidRPr="00B51F48">
        <w:rPr>
          <w:b/>
          <w:sz w:val="36"/>
          <w:szCs w:val="36"/>
        </w:rPr>
        <w:t xml:space="preserve">Öyle ki 2002’de 232.2 milyar dolar olan toplam borç miktarı 2017 yılında </w:t>
      </w:r>
      <w:r w:rsidR="00A55258" w:rsidRPr="00B51F48">
        <w:rPr>
          <w:b/>
          <w:sz w:val="36"/>
          <w:szCs w:val="36"/>
        </w:rPr>
        <w:t>616.7</w:t>
      </w:r>
      <w:r w:rsidRPr="00B51F48">
        <w:rPr>
          <w:b/>
          <w:sz w:val="36"/>
          <w:szCs w:val="36"/>
        </w:rPr>
        <w:t xml:space="preserve"> milyar dolara </w:t>
      </w:r>
      <w:r w:rsidR="00C25ED2" w:rsidRPr="00B51F48">
        <w:rPr>
          <w:b/>
          <w:sz w:val="36"/>
          <w:szCs w:val="36"/>
        </w:rPr>
        <w:t>yükselmiştir.</w:t>
      </w:r>
      <w:r w:rsidR="0063486C" w:rsidRPr="00B51F48">
        <w:rPr>
          <w:b/>
          <w:sz w:val="36"/>
          <w:szCs w:val="36"/>
        </w:rPr>
        <w:t xml:space="preserve"> Yani AK Parti yöneticileri</w:t>
      </w:r>
      <w:r w:rsidR="00F413AF" w:rsidRPr="00B51F48">
        <w:rPr>
          <w:b/>
          <w:sz w:val="36"/>
          <w:szCs w:val="36"/>
        </w:rPr>
        <w:t>nin IMF’ye olan 23.5 milyar dolar borcu ödedik deyip, ülkemizin borçlarını</w:t>
      </w:r>
      <w:r w:rsidR="0063486C" w:rsidRPr="00B51F48">
        <w:rPr>
          <w:b/>
          <w:sz w:val="36"/>
          <w:szCs w:val="36"/>
        </w:rPr>
        <w:t xml:space="preserve"> söylemese de AK Parti’nin iktidarda olduğu son 15 yılda Türkiye’nin toplam borcu % 165.6 artmıştır.</w:t>
      </w:r>
    </w:p>
    <w:p w:rsidR="00B51F48" w:rsidRDefault="00B51F48" w:rsidP="00757918">
      <w:pPr>
        <w:pStyle w:val="ListeParagraf"/>
        <w:spacing w:line="360" w:lineRule="auto"/>
        <w:ind w:left="-142" w:firstLine="142"/>
        <w:jc w:val="both"/>
        <w:rPr>
          <w:b/>
          <w:sz w:val="36"/>
          <w:szCs w:val="36"/>
        </w:rPr>
      </w:pPr>
    </w:p>
    <w:p w:rsidR="00B51F48" w:rsidRDefault="00B51F48" w:rsidP="00757918">
      <w:pPr>
        <w:pStyle w:val="ListeParagraf"/>
        <w:spacing w:line="360" w:lineRule="auto"/>
        <w:ind w:left="-142" w:firstLine="142"/>
        <w:jc w:val="both"/>
        <w:rPr>
          <w:b/>
          <w:sz w:val="36"/>
          <w:szCs w:val="36"/>
        </w:rPr>
      </w:pPr>
    </w:p>
    <w:p w:rsidR="00B51F48" w:rsidRDefault="00B51F48" w:rsidP="00757918">
      <w:pPr>
        <w:pStyle w:val="ListeParagraf"/>
        <w:spacing w:line="360" w:lineRule="auto"/>
        <w:ind w:left="-142" w:firstLine="142"/>
        <w:jc w:val="both"/>
        <w:rPr>
          <w:b/>
          <w:sz w:val="36"/>
          <w:szCs w:val="36"/>
        </w:rPr>
      </w:pPr>
    </w:p>
    <w:p w:rsidR="00F70EAF" w:rsidRDefault="00F70EAF" w:rsidP="00757918">
      <w:pPr>
        <w:pStyle w:val="ListeParagraf"/>
        <w:spacing w:line="360" w:lineRule="auto"/>
        <w:ind w:left="-142" w:firstLine="142"/>
        <w:jc w:val="both"/>
        <w:rPr>
          <w:b/>
          <w:sz w:val="36"/>
          <w:szCs w:val="36"/>
        </w:rPr>
      </w:pPr>
    </w:p>
    <w:p w:rsidR="00F70EAF" w:rsidRDefault="00F70EAF" w:rsidP="00123189">
      <w:pPr>
        <w:framePr w:w="9567" w:h="12523" w:hRule="exact" w:wrap="notBeside" w:vAnchor="text" w:hAnchor="page" w:x="1341" w:y="2"/>
        <w:spacing w:line="245" w:lineRule="exact"/>
        <w:ind w:left="1616" w:hanging="907"/>
        <w:rPr>
          <w:rStyle w:val="Tablecaption"/>
          <w:sz w:val="24"/>
          <w:szCs w:val="20"/>
        </w:rPr>
      </w:pPr>
      <w:r w:rsidRPr="00F869B9">
        <w:rPr>
          <w:rStyle w:val="Tablecaption"/>
          <w:sz w:val="24"/>
          <w:szCs w:val="20"/>
        </w:rPr>
        <w:lastRenderedPageBreak/>
        <w:t xml:space="preserve">Tablo 2: Yıllar İtibariyle Türkiye'nin Dış Borç, İç Borç </w:t>
      </w:r>
      <w:r w:rsidR="00F869B9">
        <w:rPr>
          <w:rStyle w:val="Tablecaption"/>
          <w:sz w:val="24"/>
          <w:szCs w:val="20"/>
        </w:rPr>
        <w:t>ve</w:t>
      </w:r>
      <w:r w:rsidR="00F869B9">
        <w:rPr>
          <w:rStyle w:val="Tablecaption"/>
          <w:sz w:val="24"/>
          <w:szCs w:val="20"/>
        </w:rPr>
        <w:br/>
      </w:r>
      <w:r w:rsidRPr="00F869B9">
        <w:rPr>
          <w:rStyle w:val="Tablecaption"/>
          <w:sz w:val="24"/>
          <w:szCs w:val="20"/>
        </w:rPr>
        <w:t>Toplam Borcu ile Kişi Başına Borç Durumu</w:t>
      </w:r>
    </w:p>
    <w:p w:rsidR="00F869B9" w:rsidRPr="00F869B9" w:rsidRDefault="00F869B9" w:rsidP="00123189">
      <w:pPr>
        <w:framePr w:w="9567" w:h="12523" w:hRule="exact" w:wrap="notBeside" w:vAnchor="text" w:hAnchor="page" w:x="1341" w:y="2"/>
        <w:spacing w:line="245" w:lineRule="exact"/>
        <w:jc w:val="center"/>
        <w:rPr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7"/>
        <w:gridCol w:w="1542"/>
        <w:gridCol w:w="1275"/>
        <w:gridCol w:w="1560"/>
        <w:gridCol w:w="1559"/>
        <w:gridCol w:w="2268"/>
      </w:tblGrid>
      <w:tr w:rsidR="00F869B9" w:rsidRPr="00F869B9" w:rsidTr="007E40E7">
        <w:trPr>
          <w:trHeight w:val="103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35FCD" w:rsidRDefault="00F70EAF" w:rsidP="007E40E7">
            <w:pPr>
              <w:framePr w:w="9567" w:h="12523" w:hRule="exact" w:wrap="notBeside" w:vAnchor="text" w:hAnchor="page" w:x="1341" w:y="2"/>
              <w:spacing w:before="360" w:line="40" w:lineRule="atLeast"/>
              <w:ind w:left="6"/>
              <w:jc w:val="center"/>
              <w:rPr>
                <w:b/>
              </w:rPr>
            </w:pPr>
            <w:r w:rsidRPr="00035FCD">
              <w:rPr>
                <w:rStyle w:val="Bodytext14"/>
                <w:b/>
                <w:sz w:val="24"/>
                <w:szCs w:val="24"/>
              </w:rPr>
              <w:t>Yıllar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35FCD" w:rsidRDefault="00F869B9" w:rsidP="00035FCD">
            <w:pPr>
              <w:framePr w:w="9567" w:h="12523" w:hRule="exact" w:wrap="notBeside" w:vAnchor="text" w:hAnchor="page" w:x="1341" w:y="2"/>
              <w:spacing w:before="240" w:line="40" w:lineRule="atLeast"/>
              <w:jc w:val="center"/>
              <w:rPr>
                <w:b/>
              </w:rPr>
            </w:pPr>
            <w:r w:rsidRPr="00035FCD">
              <w:rPr>
                <w:rStyle w:val="Bodytext14"/>
                <w:b/>
                <w:sz w:val="24"/>
                <w:szCs w:val="24"/>
              </w:rPr>
              <w:t>Dış Borç</w:t>
            </w:r>
            <w:r w:rsidRPr="00035FCD">
              <w:rPr>
                <w:rStyle w:val="Bodytext14"/>
                <w:b/>
                <w:sz w:val="24"/>
                <w:szCs w:val="24"/>
              </w:rPr>
              <w:br/>
            </w:r>
            <w:r w:rsidR="00F70EAF" w:rsidRPr="00035FCD">
              <w:rPr>
                <w:rStyle w:val="Bodytext14"/>
                <w:b/>
                <w:sz w:val="24"/>
                <w:szCs w:val="24"/>
              </w:rPr>
              <w:t>Milyar Dolar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35FCD" w:rsidRDefault="00F869B9" w:rsidP="00035FCD">
            <w:pPr>
              <w:framePr w:w="9567" w:h="12523" w:hRule="exact" w:wrap="notBeside" w:vAnchor="text" w:hAnchor="page" w:x="1341" w:y="2"/>
              <w:spacing w:before="240" w:line="40" w:lineRule="atLeast"/>
              <w:jc w:val="center"/>
              <w:rPr>
                <w:b/>
              </w:rPr>
            </w:pPr>
            <w:r w:rsidRPr="00035FCD">
              <w:rPr>
                <w:rStyle w:val="Bodytext14"/>
                <w:b/>
                <w:sz w:val="24"/>
                <w:szCs w:val="24"/>
              </w:rPr>
              <w:t>İç Borç</w:t>
            </w:r>
            <w:r w:rsidRPr="00035FCD">
              <w:rPr>
                <w:rStyle w:val="Bodytext14"/>
                <w:b/>
                <w:sz w:val="24"/>
                <w:szCs w:val="24"/>
              </w:rPr>
              <w:br/>
            </w:r>
            <w:r w:rsidR="00F70EAF" w:rsidRPr="00035FCD">
              <w:rPr>
                <w:rStyle w:val="Bodytext14"/>
                <w:b/>
                <w:sz w:val="24"/>
                <w:szCs w:val="24"/>
              </w:rPr>
              <w:t>Milyar TL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35FCD" w:rsidRDefault="00F869B9" w:rsidP="00035FCD">
            <w:pPr>
              <w:framePr w:w="9567" w:h="12523" w:hRule="exact" w:wrap="notBeside" w:vAnchor="text" w:hAnchor="page" w:x="1341" w:y="2"/>
              <w:spacing w:before="240" w:line="40" w:lineRule="atLeast"/>
              <w:jc w:val="center"/>
              <w:rPr>
                <w:b/>
              </w:rPr>
            </w:pPr>
            <w:r w:rsidRPr="00035FCD">
              <w:rPr>
                <w:rStyle w:val="Bodytext14"/>
                <w:b/>
                <w:sz w:val="24"/>
                <w:szCs w:val="24"/>
              </w:rPr>
              <w:t>İç Borç*</w:t>
            </w:r>
            <w:r w:rsidRPr="00035FCD">
              <w:rPr>
                <w:rStyle w:val="Bodytext14"/>
                <w:b/>
                <w:sz w:val="24"/>
                <w:szCs w:val="24"/>
              </w:rPr>
              <w:br/>
            </w:r>
            <w:r w:rsidR="00F70EAF" w:rsidRPr="00035FCD">
              <w:rPr>
                <w:rStyle w:val="Bodytext14"/>
                <w:b/>
                <w:sz w:val="24"/>
                <w:szCs w:val="24"/>
              </w:rPr>
              <w:t>Milyar Dolar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35FCD" w:rsidRDefault="00F869B9" w:rsidP="00035FCD">
            <w:pPr>
              <w:framePr w:w="9567" w:h="12523" w:hRule="exact" w:wrap="notBeside" w:vAnchor="text" w:hAnchor="page" w:x="1341" w:y="2"/>
              <w:spacing w:before="240" w:line="40" w:lineRule="atLeast"/>
              <w:jc w:val="center"/>
              <w:rPr>
                <w:b/>
              </w:rPr>
            </w:pPr>
            <w:r w:rsidRPr="00035FCD">
              <w:rPr>
                <w:rStyle w:val="Bodytext14"/>
                <w:b/>
                <w:sz w:val="24"/>
                <w:szCs w:val="24"/>
              </w:rPr>
              <w:t>Toplam Borç</w:t>
            </w:r>
            <w:r w:rsidRPr="00035FCD">
              <w:rPr>
                <w:rStyle w:val="Bodytext14"/>
                <w:b/>
                <w:sz w:val="24"/>
                <w:szCs w:val="24"/>
              </w:rPr>
              <w:br/>
            </w:r>
            <w:r w:rsidR="00F70EAF" w:rsidRPr="00035FCD">
              <w:rPr>
                <w:rStyle w:val="Bodytext14"/>
                <w:b/>
                <w:sz w:val="24"/>
                <w:szCs w:val="24"/>
              </w:rPr>
              <w:t>Milyar Dolar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35FCD" w:rsidRDefault="00173FE7" w:rsidP="00173FE7">
            <w:pPr>
              <w:framePr w:w="9567" w:h="12523" w:hRule="exact" w:wrap="notBeside" w:vAnchor="text" w:hAnchor="page" w:x="1341" w:y="2"/>
              <w:spacing w:before="240" w:after="120" w:line="40" w:lineRule="atLeast"/>
              <w:jc w:val="center"/>
              <w:rPr>
                <w:b/>
              </w:rPr>
            </w:pPr>
            <w:r>
              <w:rPr>
                <w:rStyle w:val="Bodytext14"/>
                <w:b/>
                <w:sz w:val="24"/>
                <w:szCs w:val="24"/>
              </w:rPr>
              <w:t>Kişi Başına</w:t>
            </w:r>
            <w:r>
              <w:rPr>
                <w:rStyle w:val="Bodytext14"/>
                <w:b/>
                <w:sz w:val="24"/>
                <w:szCs w:val="24"/>
              </w:rPr>
              <w:br/>
            </w:r>
            <w:r w:rsidR="00F869B9" w:rsidRPr="00035FCD">
              <w:rPr>
                <w:rStyle w:val="Bodytext14"/>
                <w:b/>
                <w:sz w:val="24"/>
                <w:szCs w:val="24"/>
              </w:rPr>
              <w:t>Borç**</w:t>
            </w:r>
            <w:r w:rsidR="00F869B9" w:rsidRPr="00035FCD">
              <w:rPr>
                <w:rStyle w:val="Bodytext14"/>
                <w:b/>
                <w:sz w:val="24"/>
                <w:szCs w:val="24"/>
              </w:rPr>
              <w:br/>
            </w:r>
            <w:r w:rsidR="00F70EAF" w:rsidRPr="00035FCD">
              <w:rPr>
                <w:rStyle w:val="Bodytext14"/>
                <w:b/>
                <w:sz w:val="24"/>
                <w:szCs w:val="24"/>
              </w:rPr>
              <w:t>Dolar</w:t>
            </w:r>
          </w:p>
        </w:tc>
      </w:tr>
      <w:tr w:rsidR="00F869B9" w:rsidRPr="00F869B9" w:rsidTr="007E40E7">
        <w:trPr>
          <w:trHeight w:val="31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</w:pPr>
            <w:r w:rsidRPr="00F869B9">
              <w:rPr>
                <w:rStyle w:val="Bodytext11"/>
                <w:sz w:val="24"/>
                <w:szCs w:val="24"/>
              </w:rPr>
              <w:t>118.6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</w:pPr>
            <w:r w:rsidRPr="00F869B9">
              <w:rPr>
                <w:rStyle w:val="Bodytext11"/>
                <w:sz w:val="24"/>
                <w:szCs w:val="24"/>
              </w:rPr>
              <w:t>54.5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</w:pPr>
            <w:r w:rsidRPr="00F869B9">
              <w:rPr>
                <w:rStyle w:val="Bodytext11"/>
                <w:sz w:val="24"/>
                <w:szCs w:val="24"/>
              </w:rPr>
              <w:t>81.4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</w:pPr>
            <w:r w:rsidRPr="00F869B9">
              <w:rPr>
                <w:rStyle w:val="Bodytext11"/>
                <w:sz w:val="24"/>
                <w:szCs w:val="24"/>
              </w:rPr>
              <w:t>200.0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</w:pPr>
            <w:r w:rsidRPr="00F869B9">
              <w:rPr>
                <w:rStyle w:val="Bodytext11"/>
                <w:sz w:val="24"/>
                <w:szCs w:val="24"/>
              </w:rPr>
              <w:t>2.950</w:t>
            </w:r>
          </w:p>
        </w:tc>
      </w:tr>
      <w:tr w:rsidR="00F869B9" w:rsidRPr="00F869B9" w:rsidTr="001E2CAE">
        <w:trPr>
          <w:trHeight w:val="3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113.6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125.6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102.0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215.6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3.310</w:t>
            </w:r>
          </w:p>
        </w:tc>
      </w:tr>
      <w:tr w:rsidR="00F869B9" w:rsidRPr="00F869B9" w:rsidTr="001E2CAE">
        <w:trPr>
          <w:trHeight w:val="34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129.6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155.2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102.6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232.2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3.510</w:t>
            </w:r>
          </w:p>
        </w:tc>
      </w:tr>
      <w:tr w:rsidR="00F869B9" w:rsidRPr="00F869B9" w:rsidTr="001E2CAE">
        <w:trPr>
          <w:trHeight w:val="336"/>
          <w:jc w:val="center"/>
        </w:trPr>
        <w:tc>
          <w:tcPr>
            <w:tcW w:w="8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2003</w:t>
            </w:r>
          </w:p>
        </w:tc>
        <w:tc>
          <w:tcPr>
            <w:tcW w:w="15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144.2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202.1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134.7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278.9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4.160</w:t>
            </w:r>
          </w:p>
        </w:tc>
      </w:tr>
      <w:tr w:rsidR="00F869B9" w:rsidRPr="00F869B9" w:rsidTr="007E40E7">
        <w:trPr>
          <w:trHeight w:val="3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161.1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235.1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164.5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325.6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4.810</w:t>
            </w:r>
          </w:p>
        </w:tc>
      </w:tr>
      <w:tr w:rsidR="00F869B9" w:rsidRPr="00F869B9" w:rsidTr="007E40E7">
        <w:trPr>
          <w:trHeight w:val="3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170.7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259.8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192.8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363.5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5.280</w:t>
            </w:r>
          </w:p>
        </w:tc>
      </w:tr>
      <w:tr w:rsidR="00F869B9" w:rsidRPr="00F869B9" w:rsidTr="007E40E7">
        <w:trPr>
          <w:trHeight w:val="31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208.0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268.3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173FE7">
              <w:rPr>
                <w:rStyle w:val="Bodytext11"/>
                <w:sz w:val="24"/>
                <w:szCs w:val="24"/>
              </w:rPr>
              <w:t>186.6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394.6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5.680</w:t>
            </w:r>
          </w:p>
        </w:tc>
      </w:tr>
      <w:tr w:rsidR="00F869B9" w:rsidRPr="00F869B9" w:rsidTr="007E40E7">
        <w:trPr>
          <w:trHeight w:val="3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249.9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273.3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209.0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458.9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6.500</w:t>
            </w:r>
          </w:p>
        </w:tc>
      </w:tr>
      <w:tr w:rsidR="00F869B9" w:rsidRPr="00F869B9" w:rsidTr="007E40E7">
        <w:trPr>
          <w:trHeight w:val="3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280.8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295.8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227.7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508.5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7.100</w:t>
            </w:r>
          </w:p>
        </w:tc>
      </w:tr>
      <w:tr w:rsidR="00F869B9" w:rsidRPr="00F869B9" w:rsidTr="007E40E7">
        <w:trPr>
          <w:trHeight w:val="3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268.7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347.4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173FE7">
              <w:rPr>
                <w:rStyle w:val="Bodytext11"/>
                <w:sz w:val="24"/>
                <w:szCs w:val="24"/>
              </w:rPr>
              <w:t>223.5***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492.2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6.780</w:t>
            </w:r>
          </w:p>
        </w:tc>
      </w:tr>
      <w:tr w:rsidR="00F869B9" w:rsidRPr="00F869B9" w:rsidTr="007E40E7">
        <w:trPr>
          <w:trHeight w:val="31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291.6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368.9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416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244.7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536.3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7.250</w:t>
            </w:r>
          </w:p>
        </w:tc>
      </w:tr>
      <w:tr w:rsidR="00F869B9" w:rsidRPr="00F869B9" w:rsidTr="007E40E7">
        <w:trPr>
          <w:trHeight w:val="33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303.7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387.6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173FE7">
              <w:rPr>
                <w:rStyle w:val="Bodytext11"/>
                <w:sz w:val="24"/>
                <w:szCs w:val="24"/>
              </w:rPr>
              <w:t>230.7***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534.4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7.140</w:t>
            </w:r>
          </w:p>
        </w:tc>
      </w:tr>
      <w:tr w:rsidR="00F869B9" w:rsidRPr="00F869B9" w:rsidTr="007E40E7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339.5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408.3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173FE7">
              <w:rPr>
                <w:rStyle w:val="Bodytext11"/>
                <w:sz w:val="24"/>
                <w:szCs w:val="24"/>
              </w:rPr>
              <w:t>228.8***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568.3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7.500</w:t>
            </w:r>
          </w:p>
        </w:tc>
      </w:tr>
      <w:tr w:rsidR="00F869B9" w:rsidRPr="00F869B9" w:rsidTr="007E40E7">
        <w:trPr>
          <w:trHeight w:val="37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389.8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430.3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173FE7">
              <w:rPr>
                <w:rStyle w:val="Bodytext11"/>
                <w:sz w:val="24"/>
                <w:szCs w:val="24"/>
              </w:rPr>
              <w:t>225.5***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615.3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8.010</w:t>
            </w:r>
          </w:p>
        </w:tc>
      </w:tr>
      <w:tr w:rsidR="00F869B9" w:rsidRPr="00F869B9" w:rsidTr="007E40E7">
        <w:trPr>
          <w:trHeight w:val="37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401.9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443.4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203.5***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605.4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7.904</w:t>
            </w:r>
          </w:p>
        </w:tc>
      </w:tr>
      <w:tr w:rsidR="00F869B9" w:rsidRPr="00F869B9" w:rsidTr="007E40E7">
        <w:trPr>
          <w:trHeight w:val="37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396.1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474.2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173.0***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569.1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7.280</w:t>
            </w:r>
          </w:p>
        </w:tc>
      </w:tr>
      <w:tr w:rsidR="00F869B9" w:rsidRPr="00F869B9" w:rsidTr="007E40E7">
        <w:trPr>
          <w:trHeight w:val="38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F869B9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</w:pPr>
            <w:r w:rsidRPr="00F869B9">
              <w:rPr>
                <w:rStyle w:val="Bodytext11"/>
                <w:sz w:val="24"/>
                <w:szCs w:val="24"/>
              </w:rPr>
              <w:t>2016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A0A3B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40</w:t>
            </w:r>
            <w:r w:rsidR="001A0A3B">
              <w:rPr>
                <w:rStyle w:val="Bodytext11"/>
                <w:sz w:val="24"/>
                <w:szCs w:val="24"/>
              </w:rPr>
              <w:t>8</w:t>
            </w:r>
            <w:r w:rsidRPr="00F869B9">
              <w:rPr>
                <w:rStyle w:val="Bodytext11"/>
                <w:sz w:val="24"/>
                <w:szCs w:val="24"/>
              </w:rPr>
              <w:t>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23189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514.7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170.4*</w:t>
            </w:r>
            <w:r w:rsidR="009105A6">
              <w:rPr>
                <w:rStyle w:val="Bodytext11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3FE7" w:rsidRDefault="00F70EAF" w:rsidP="001A0A3B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57</w:t>
            </w:r>
            <w:r w:rsidR="001A0A3B">
              <w:rPr>
                <w:rStyle w:val="Bodytext11"/>
                <w:sz w:val="24"/>
                <w:szCs w:val="24"/>
              </w:rPr>
              <w:t>8</w:t>
            </w:r>
            <w:r w:rsidRPr="00F869B9">
              <w:rPr>
                <w:rStyle w:val="Bodytext11"/>
                <w:sz w:val="24"/>
                <w:szCs w:val="24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CAE" w:rsidRPr="00173FE7" w:rsidRDefault="00F70EAF" w:rsidP="001E2CAE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 w:rsidRPr="00F869B9">
              <w:rPr>
                <w:rStyle w:val="Bodytext11"/>
                <w:sz w:val="24"/>
                <w:szCs w:val="24"/>
              </w:rPr>
              <w:t>7.200</w:t>
            </w:r>
          </w:p>
        </w:tc>
      </w:tr>
      <w:tr w:rsidR="0080077D" w:rsidRPr="00F869B9" w:rsidTr="007E40E7">
        <w:trPr>
          <w:trHeight w:val="38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7D" w:rsidRPr="00F869B9" w:rsidRDefault="0080077D" w:rsidP="00123189">
            <w:pPr>
              <w:framePr w:w="9567" w:h="12523" w:hRule="exact" w:wrap="notBeside" w:vAnchor="text" w:hAnchor="page" w:x="1341" w:y="2"/>
              <w:spacing w:before="60" w:after="60"/>
              <w:ind w:left="140"/>
              <w:rPr>
                <w:rStyle w:val="Bodytext11"/>
                <w:sz w:val="24"/>
                <w:szCs w:val="24"/>
              </w:rPr>
            </w:pPr>
            <w:r>
              <w:rPr>
                <w:rStyle w:val="Bodytext11"/>
                <w:sz w:val="24"/>
                <w:szCs w:val="24"/>
              </w:rPr>
              <w:t>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7D" w:rsidRPr="00F869B9" w:rsidRDefault="0080077D" w:rsidP="0080077D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>
              <w:rPr>
                <w:rStyle w:val="Bodytext11"/>
                <w:sz w:val="24"/>
                <w:szCs w:val="24"/>
              </w:rPr>
              <w:t>453.2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7D" w:rsidRPr="00F869B9" w:rsidRDefault="0080077D" w:rsidP="0080077D">
            <w:pPr>
              <w:framePr w:w="9567" w:h="12523" w:hRule="exact" w:wrap="notBeside" w:vAnchor="text" w:hAnchor="page" w:x="1341" w:y="2"/>
              <w:spacing w:before="60" w:after="60"/>
              <w:ind w:right="415"/>
              <w:jc w:val="right"/>
              <w:rPr>
                <w:rStyle w:val="Bodytext11"/>
                <w:sz w:val="24"/>
                <w:szCs w:val="24"/>
              </w:rPr>
            </w:pPr>
            <w:r>
              <w:rPr>
                <w:rStyle w:val="Bodytext11"/>
                <w:sz w:val="24"/>
                <w:szCs w:val="24"/>
              </w:rPr>
              <w:t>596.6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7D" w:rsidRPr="00F869B9" w:rsidRDefault="0080077D" w:rsidP="001E2CAE">
            <w:pPr>
              <w:framePr w:w="9567" w:h="12523" w:hRule="exact" w:wrap="notBeside" w:vAnchor="text" w:hAnchor="page" w:x="1341" w:y="2"/>
              <w:spacing w:before="60" w:after="60"/>
              <w:ind w:right="217"/>
              <w:jc w:val="right"/>
              <w:rPr>
                <w:rStyle w:val="Bodytext11"/>
                <w:sz w:val="24"/>
                <w:szCs w:val="24"/>
              </w:rPr>
            </w:pPr>
            <w:r>
              <w:rPr>
                <w:rStyle w:val="Bodytext11"/>
                <w:sz w:val="24"/>
                <w:szCs w:val="24"/>
              </w:rPr>
              <w:t>163.5***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7D" w:rsidRPr="00F869B9" w:rsidRDefault="0080077D" w:rsidP="001A0A3B">
            <w:pPr>
              <w:framePr w:w="9567" w:h="12523" w:hRule="exact" w:wrap="notBeside" w:vAnchor="text" w:hAnchor="page" w:x="1341" w:y="2"/>
              <w:tabs>
                <w:tab w:val="left" w:pos="840"/>
              </w:tabs>
              <w:spacing w:before="60" w:after="60"/>
              <w:ind w:right="557"/>
              <w:jc w:val="right"/>
              <w:rPr>
                <w:rStyle w:val="Bodytext11"/>
                <w:sz w:val="24"/>
                <w:szCs w:val="24"/>
              </w:rPr>
            </w:pPr>
            <w:r>
              <w:rPr>
                <w:rStyle w:val="Bodytext11"/>
                <w:sz w:val="24"/>
                <w:szCs w:val="24"/>
              </w:rPr>
              <w:t>616.7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77D" w:rsidRPr="00F869B9" w:rsidRDefault="0080077D" w:rsidP="001E2CAE">
            <w:pPr>
              <w:framePr w:w="9567" w:h="12523" w:hRule="exact" w:wrap="notBeside" w:vAnchor="text" w:hAnchor="page" w:x="1341" w:y="2"/>
              <w:spacing w:before="60" w:after="60"/>
              <w:ind w:right="794"/>
              <w:jc w:val="right"/>
              <w:rPr>
                <w:rStyle w:val="Bodytext11"/>
                <w:sz w:val="24"/>
                <w:szCs w:val="24"/>
              </w:rPr>
            </w:pPr>
            <w:r>
              <w:rPr>
                <w:rStyle w:val="Bodytext11"/>
                <w:sz w:val="24"/>
                <w:szCs w:val="24"/>
              </w:rPr>
              <w:t>7.630</w:t>
            </w:r>
          </w:p>
        </w:tc>
      </w:tr>
    </w:tbl>
    <w:p w:rsidR="00F869B9" w:rsidRDefault="00F869B9" w:rsidP="00123189">
      <w:pPr>
        <w:framePr w:w="9567" w:h="12523" w:hRule="exact" w:wrap="notBeside" w:vAnchor="text" w:hAnchor="page" w:x="1341" w:y="2"/>
        <w:spacing w:line="100" w:lineRule="atLeast"/>
        <w:jc w:val="center"/>
        <w:rPr>
          <w:rStyle w:val="Tablecaption"/>
          <w:sz w:val="24"/>
          <w:szCs w:val="24"/>
        </w:rPr>
      </w:pPr>
    </w:p>
    <w:p w:rsidR="00F70EAF" w:rsidRPr="00F869B9" w:rsidRDefault="00F70EAF" w:rsidP="00123189">
      <w:pPr>
        <w:framePr w:w="9567" w:h="12523" w:hRule="exact" w:wrap="notBeside" w:vAnchor="text" w:hAnchor="page" w:x="1341" w:y="2"/>
        <w:spacing w:before="120" w:line="100" w:lineRule="atLeast"/>
        <w:ind w:left="708"/>
      </w:pPr>
      <w:r w:rsidRPr="00F869B9">
        <w:rPr>
          <w:rStyle w:val="Tablecaption"/>
          <w:sz w:val="24"/>
          <w:szCs w:val="24"/>
        </w:rPr>
        <w:t>Kaynak:</w:t>
      </w:r>
      <w:hyperlink r:id="rId10" w:history="1">
        <w:r w:rsidRPr="00F869B9">
          <w:rPr>
            <w:rStyle w:val="Kpr"/>
          </w:rPr>
          <w:t xml:space="preserve"> </w:t>
        </w:r>
        <w:r w:rsidRPr="00F869B9">
          <w:rPr>
            <w:rStyle w:val="Kpr"/>
            <w:lang w:val="en-US"/>
          </w:rPr>
          <w:t>www.hazine.gov.tr,</w:t>
        </w:r>
      </w:hyperlink>
    </w:p>
    <w:p w:rsidR="00F70EAF" w:rsidRPr="00F869B9" w:rsidRDefault="00F70EAF" w:rsidP="00123189">
      <w:pPr>
        <w:framePr w:w="9567" w:h="12523" w:hRule="exact" w:wrap="notBeside" w:vAnchor="text" w:hAnchor="page" w:x="1341" w:y="2"/>
        <w:spacing w:before="120" w:line="100" w:lineRule="atLeast"/>
        <w:ind w:left="708"/>
      </w:pPr>
      <w:r w:rsidRPr="00F869B9">
        <w:rPr>
          <w:rStyle w:val="Tablecaption2"/>
          <w:sz w:val="24"/>
          <w:szCs w:val="24"/>
        </w:rPr>
        <w:t>*İç Borç miktarı Merkez Bankası tarafından verilen Dolar satış ku</w:t>
      </w:r>
      <w:r w:rsidRPr="00F869B9">
        <w:rPr>
          <w:rStyle w:val="Tablecaption2"/>
          <w:sz w:val="24"/>
          <w:szCs w:val="24"/>
        </w:rPr>
        <w:softHyphen/>
        <w:t>runa bölünerek iç borcun Dolar karşılığı tarafımızdan hesaplanmıştır.</w:t>
      </w:r>
    </w:p>
    <w:p w:rsidR="00F70EAF" w:rsidRDefault="00F70EAF" w:rsidP="00123189">
      <w:pPr>
        <w:framePr w:w="9567" w:h="12523" w:hRule="exact" w:wrap="notBeside" w:vAnchor="text" w:hAnchor="page" w:x="1341" w:y="2"/>
        <w:spacing w:before="120" w:line="100" w:lineRule="atLeast"/>
        <w:ind w:left="708"/>
        <w:rPr>
          <w:rStyle w:val="Tablecaption2"/>
          <w:sz w:val="24"/>
          <w:szCs w:val="24"/>
        </w:rPr>
      </w:pPr>
      <w:r w:rsidRPr="00F869B9">
        <w:rPr>
          <w:rStyle w:val="Tablecaption2"/>
          <w:sz w:val="24"/>
          <w:szCs w:val="24"/>
        </w:rPr>
        <w:t>** Toplam Borç (Milyar Dolar) miktarı o yılki nüfusa bölünerek tara</w:t>
      </w:r>
      <w:r w:rsidRPr="00F869B9">
        <w:rPr>
          <w:rStyle w:val="Tablecaption2"/>
          <w:sz w:val="24"/>
          <w:szCs w:val="24"/>
        </w:rPr>
        <w:softHyphen/>
        <w:t>fımızdan bulunmuştur.</w:t>
      </w:r>
    </w:p>
    <w:p w:rsidR="00F869B9" w:rsidRPr="00F869B9" w:rsidRDefault="00F869B9" w:rsidP="00123189">
      <w:pPr>
        <w:framePr w:w="9567" w:h="12523" w:hRule="exact" w:wrap="notBeside" w:vAnchor="text" w:hAnchor="page" w:x="1341" w:y="2"/>
        <w:spacing w:before="120" w:line="100" w:lineRule="atLeast"/>
        <w:ind w:firstLine="708"/>
        <w:rPr>
          <w:rStyle w:val="Tablecaption2"/>
          <w:sz w:val="24"/>
          <w:szCs w:val="24"/>
        </w:rPr>
      </w:pPr>
      <w:r w:rsidRPr="00F869B9">
        <w:rPr>
          <w:rStyle w:val="Tablecaption2"/>
          <w:sz w:val="24"/>
          <w:szCs w:val="24"/>
        </w:rPr>
        <w:t>***Dolar bazında iç borcun azalma sebebi Dolar'daki yükselmedir</w:t>
      </w:r>
    </w:p>
    <w:p w:rsidR="00F869B9" w:rsidRPr="00F869B9" w:rsidRDefault="00F869B9" w:rsidP="00123189">
      <w:pPr>
        <w:framePr w:w="9567" w:h="12523" w:hRule="exact" w:wrap="notBeside" w:vAnchor="text" w:hAnchor="page" w:x="1341" w:y="2"/>
        <w:spacing w:line="206" w:lineRule="exact"/>
      </w:pPr>
    </w:p>
    <w:p w:rsidR="00F70EAF" w:rsidRDefault="00F70EAF" w:rsidP="00F70EAF">
      <w:pPr>
        <w:rPr>
          <w:rStyle w:val="Tablecaption2"/>
        </w:rPr>
      </w:pPr>
    </w:p>
    <w:p w:rsidR="00F70EAF" w:rsidRDefault="00F70EAF" w:rsidP="00F70EAF">
      <w:pPr>
        <w:rPr>
          <w:rStyle w:val="Tablecaption2"/>
        </w:rPr>
      </w:pPr>
    </w:p>
    <w:p w:rsidR="00F70EAF" w:rsidRDefault="00F70EAF" w:rsidP="00F70EAF">
      <w:pPr>
        <w:rPr>
          <w:rStyle w:val="Tablecaption2"/>
        </w:rPr>
      </w:pPr>
    </w:p>
    <w:p w:rsidR="00F70EAF" w:rsidRDefault="00F70EAF" w:rsidP="00F70EAF">
      <w:pPr>
        <w:rPr>
          <w:rStyle w:val="Tablecaption2"/>
        </w:rPr>
      </w:pPr>
    </w:p>
    <w:p w:rsidR="00F70EAF" w:rsidRDefault="00F70EAF" w:rsidP="00F70EAF">
      <w:pPr>
        <w:rPr>
          <w:rStyle w:val="Tablecaption2"/>
        </w:rPr>
      </w:pPr>
    </w:p>
    <w:p w:rsidR="00F70EAF" w:rsidRDefault="00F70EAF" w:rsidP="00F70EAF">
      <w:pPr>
        <w:rPr>
          <w:rStyle w:val="Tablecaption2"/>
        </w:rPr>
      </w:pPr>
    </w:p>
    <w:p w:rsidR="00F70EAF" w:rsidRDefault="00F70EAF" w:rsidP="00F70EAF">
      <w:pPr>
        <w:rPr>
          <w:rStyle w:val="Tablecaption2"/>
        </w:rPr>
      </w:pPr>
    </w:p>
    <w:p w:rsidR="00617872" w:rsidRDefault="00617872" w:rsidP="00B51F48">
      <w:pPr>
        <w:pStyle w:val="ListeParagraf"/>
        <w:spacing w:line="360" w:lineRule="auto"/>
        <w:ind w:left="-142" w:firstLine="142"/>
        <w:jc w:val="both"/>
        <w:rPr>
          <w:b/>
          <w:sz w:val="16"/>
          <w:szCs w:val="16"/>
        </w:rPr>
      </w:pPr>
    </w:p>
    <w:p w:rsidR="00617872" w:rsidRDefault="00617872" w:rsidP="00B51F48">
      <w:pPr>
        <w:pStyle w:val="ListeParagraf"/>
        <w:spacing w:line="360" w:lineRule="auto"/>
        <w:ind w:left="-142" w:firstLine="142"/>
        <w:jc w:val="both"/>
        <w:rPr>
          <w:b/>
          <w:sz w:val="16"/>
          <w:szCs w:val="16"/>
        </w:rPr>
      </w:pPr>
    </w:p>
    <w:p w:rsidR="00757918" w:rsidRPr="00BD7157" w:rsidRDefault="00757918" w:rsidP="00B51F48">
      <w:pPr>
        <w:pStyle w:val="ListeParagraf"/>
        <w:spacing w:line="360" w:lineRule="auto"/>
        <w:ind w:left="-142" w:firstLine="142"/>
        <w:jc w:val="both"/>
        <w:rPr>
          <w:sz w:val="36"/>
          <w:szCs w:val="36"/>
        </w:rPr>
      </w:pPr>
      <w:r>
        <w:rPr>
          <w:b/>
          <w:sz w:val="16"/>
          <w:szCs w:val="16"/>
        </w:rPr>
        <w:lastRenderedPageBreak/>
        <w:tab/>
      </w:r>
      <w:r w:rsidR="00BD7157" w:rsidRPr="00BD7157">
        <w:rPr>
          <w:b/>
          <w:sz w:val="36"/>
          <w:szCs w:val="36"/>
        </w:rPr>
        <w:t>2a</w:t>
      </w:r>
      <w:r w:rsidR="00BD7157">
        <w:rPr>
          <w:b/>
          <w:sz w:val="36"/>
          <w:szCs w:val="36"/>
        </w:rPr>
        <w:t xml:space="preserve"> </w:t>
      </w:r>
      <w:r w:rsidR="00BD7157" w:rsidRPr="00BD7157">
        <w:rPr>
          <w:b/>
          <w:sz w:val="36"/>
          <w:szCs w:val="36"/>
        </w:rPr>
        <w:t xml:space="preserve">- </w:t>
      </w:r>
      <w:r w:rsidR="00E82990" w:rsidRPr="00BD7157">
        <w:rPr>
          <w:b/>
          <w:sz w:val="36"/>
          <w:szCs w:val="36"/>
        </w:rPr>
        <w:t>KAMU BORÇLARI:</w:t>
      </w:r>
    </w:p>
    <w:p w:rsidR="00757918" w:rsidRPr="00E82990" w:rsidRDefault="00C9673A" w:rsidP="00757918">
      <w:pPr>
        <w:pStyle w:val="ListeParagraf"/>
        <w:spacing w:line="360" w:lineRule="auto"/>
        <w:ind w:left="0" w:firstLine="709"/>
        <w:jc w:val="both"/>
        <w:rPr>
          <w:sz w:val="36"/>
          <w:szCs w:val="36"/>
        </w:rPr>
      </w:pPr>
      <w:r w:rsidRPr="00E82990">
        <w:rPr>
          <w:sz w:val="36"/>
          <w:szCs w:val="36"/>
        </w:rPr>
        <w:t xml:space="preserve">Türkiye’nin </w:t>
      </w:r>
      <w:r w:rsidR="00757918" w:rsidRPr="00E82990">
        <w:rPr>
          <w:sz w:val="36"/>
          <w:szCs w:val="36"/>
        </w:rPr>
        <w:t xml:space="preserve">2002 ile </w:t>
      </w:r>
      <w:r w:rsidRPr="00E82990">
        <w:rPr>
          <w:sz w:val="36"/>
          <w:szCs w:val="36"/>
        </w:rPr>
        <w:t>2017 yıllarındaki</w:t>
      </w:r>
      <w:r w:rsidR="00757918" w:rsidRPr="00E82990">
        <w:rPr>
          <w:sz w:val="36"/>
          <w:szCs w:val="36"/>
        </w:rPr>
        <w:t xml:space="preserve"> Kamu Brüt </w:t>
      </w:r>
      <w:r w:rsidRPr="00E82990">
        <w:rPr>
          <w:sz w:val="36"/>
          <w:szCs w:val="36"/>
        </w:rPr>
        <w:t>İç Borç, Dış Borç ve</w:t>
      </w:r>
      <w:r w:rsidR="00757918" w:rsidRPr="00E82990">
        <w:rPr>
          <w:sz w:val="36"/>
          <w:szCs w:val="36"/>
        </w:rPr>
        <w:t xml:space="preserve"> Toplam Borç durumu </w:t>
      </w:r>
      <w:r w:rsidR="002E6F21" w:rsidRPr="00E82990">
        <w:rPr>
          <w:sz w:val="36"/>
          <w:szCs w:val="36"/>
        </w:rPr>
        <w:t xml:space="preserve">da </w:t>
      </w:r>
      <w:r w:rsidR="00757918" w:rsidRPr="00E82990">
        <w:rPr>
          <w:sz w:val="36"/>
          <w:szCs w:val="36"/>
        </w:rPr>
        <w:t>şöyledir:</w:t>
      </w:r>
    </w:p>
    <w:p w:rsidR="00757918" w:rsidRDefault="00757918" w:rsidP="00757918">
      <w:pPr>
        <w:pStyle w:val="ListeParagraf"/>
        <w:spacing w:line="360" w:lineRule="auto"/>
        <w:ind w:left="0" w:firstLine="709"/>
        <w:jc w:val="both"/>
        <w:rPr>
          <w:sz w:val="20"/>
          <w:szCs w:val="20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984"/>
        <w:gridCol w:w="2552"/>
      </w:tblGrid>
      <w:tr w:rsidR="00757918" w:rsidRPr="004D3231" w:rsidTr="00CB5453">
        <w:trPr>
          <w:trHeight w:val="668"/>
          <w:jc w:val="center"/>
        </w:trPr>
        <w:tc>
          <w:tcPr>
            <w:tcW w:w="959" w:type="dxa"/>
          </w:tcPr>
          <w:p w:rsidR="00757918" w:rsidRPr="00C508E7" w:rsidRDefault="00757918" w:rsidP="0004727A">
            <w:pPr>
              <w:spacing w:before="480" w:after="240"/>
              <w:jc w:val="center"/>
              <w:rPr>
                <w:rFonts w:ascii="Arial" w:hAnsi="Arial" w:cs="Arial"/>
                <w:b/>
              </w:rPr>
            </w:pPr>
            <w:r w:rsidRPr="00C508E7">
              <w:rPr>
                <w:rFonts w:ascii="Arial" w:hAnsi="Arial" w:cs="Arial"/>
                <w:b/>
              </w:rPr>
              <w:t>Yıl</w:t>
            </w:r>
          </w:p>
        </w:tc>
        <w:tc>
          <w:tcPr>
            <w:tcW w:w="1843" w:type="dxa"/>
          </w:tcPr>
          <w:p w:rsidR="00757918" w:rsidRPr="00C508E7" w:rsidRDefault="00757918" w:rsidP="0004727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508E7">
              <w:rPr>
                <w:rFonts w:ascii="Arial" w:hAnsi="Arial" w:cs="Arial"/>
                <w:b/>
              </w:rPr>
              <w:t>Kamu Brüt</w:t>
            </w:r>
            <w:r w:rsidR="0004727A">
              <w:rPr>
                <w:rFonts w:ascii="Arial" w:hAnsi="Arial" w:cs="Arial"/>
                <w:b/>
              </w:rPr>
              <w:br/>
              <w:t>İç Borç Stoku</w:t>
            </w:r>
            <w:r w:rsidR="0004727A">
              <w:rPr>
                <w:rFonts w:ascii="Arial" w:hAnsi="Arial" w:cs="Arial"/>
                <w:b/>
              </w:rPr>
              <w:br/>
            </w:r>
            <w:r w:rsidRPr="00C508E7">
              <w:rPr>
                <w:rFonts w:ascii="Arial" w:hAnsi="Arial" w:cs="Arial"/>
                <w:b/>
              </w:rPr>
              <w:t>(Milyar TL)</w:t>
            </w:r>
          </w:p>
        </w:tc>
        <w:tc>
          <w:tcPr>
            <w:tcW w:w="1984" w:type="dxa"/>
          </w:tcPr>
          <w:p w:rsidR="00757918" w:rsidRPr="00C508E7" w:rsidRDefault="0004727A" w:rsidP="0004727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Kamu Brüt</w:t>
            </w:r>
            <w:r>
              <w:rPr>
                <w:rFonts w:ascii="Arial" w:hAnsi="Arial" w:cs="Arial"/>
                <w:b/>
              </w:rPr>
              <w:br/>
            </w:r>
            <w:r w:rsidR="00757918" w:rsidRPr="00C508E7">
              <w:rPr>
                <w:rFonts w:ascii="Arial" w:hAnsi="Arial" w:cs="Arial"/>
                <w:b/>
              </w:rPr>
              <w:t>Dış Borç St</w:t>
            </w:r>
            <w:r>
              <w:rPr>
                <w:rFonts w:ascii="Arial" w:hAnsi="Arial" w:cs="Arial"/>
                <w:b/>
              </w:rPr>
              <w:t>oku</w:t>
            </w:r>
            <w:r>
              <w:rPr>
                <w:rFonts w:ascii="Arial" w:hAnsi="Arial" w:cs="Arial"/>
                <w:b/>
              </w:rPr>
              <w:br/>
            </w:r>
            <w:r w:rsidR="00757918" w:rsidRPr="00C508E7">
              <w:rPr>
                <w:rFonts w:ascii="Arial" w:hAnsi="Arial" w:cs="Arial"/>
                <w:b/>
              </w:rPr>
              <w:t>(Milyar TL)</w:t>
            </w:r>
          </w:p>
        </w:tc>
        <w:tc>
          <w:tcPr>
            <w:tcW w:w="2552" w:type="dxa"/>
          </w:tcPr>
          <w:p w:rsidR="00757918" w:rsidRPr="00C508E7" w:rsidRDefault="0004727A" w:rsidP="0004727A">
            <w:pPr>
              <w:tabs>
                <w:tab w:val="left" w:pos="26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Kamu Brüt</w:t>
            </w:r>
            <w:r>
              <w:rPr>
                <w:rFonts w:ascii="Arial" w:hAnsi="Arial" w:cs="Arial"/>
                <w:b/>
              </w:rPr>
              <w:br/>
            </w:r>
            <w:r w:rsidR="00757918" w:rsidRPr="00C508E7">
              <w:rPr>
                <w:rFonts w:ascii="Arial" w:hAnsi="Arial" w:cs="Arial"/>
                <w:b/>
              </w:rPr>
              <w:t>Toplam Borç Stoku (Milyar TL)</w:t>
            </w:r>
          </w:p>
        </w:tc>
      </w:tr>
      <w:tr w:rsidR="00757918" w:rsidRPr="00B30F71" w:rsidTr="00CB5453">
        <w:trPr>
          <w:trHeight w:val="203"/>
          <w:jc w:val="center"/>
        </w:trPr>
        <w:tc>
          <w:tcPr>
            <w:tcW w:w="959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2002</w:t>
            </w:r>
          </w:p>
        </w:tc>
        <w:tc>
          <w:tcPr>
            <w:tcW w:w="1843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155.2</w:t>
            </w:r>
          </w:p>
        </w:tc>
        <w:tc>
          <w:tcPr>
            <w:tcW w:w="1984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101.6</w:t>
            </w:r>
          </w:p>
        </w:tc>
        <w:tc>
          <w:tcPr>
            <w:tcW w:w="2552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256.8</w:t>
            </w:r>
          </w:p>
        </w:tc>
      </w:tr>
      <w:tr w:rsidR="00757918" w:rsidRPr="00B30F71" w:rsidTr="00CB5453">
        <w:trPr>
          <w:trHeight w:val="554"/>
          <w:jc w:val="center"/>
        </w:trPr>
        <w:tc>
          <w:tcPr>
            <w:tcW w:w="959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B5453">
              <w:rPr>
                <w:rFonts w:ascii="Arial" w:hAnsi="Arial" w:cs="Arial"/>
              </w:rPr>
              <w:t>2017</w:t>
            </w:r>
            <w:r w:rsidRPr="00C508E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5</w:t>
            </w:r>
            <w:r w:rsidR="00A92EAB" w:rsidRPr="00C508E7">
              <w:rPr>
                <w:rFonts w:ascii="Arial" w:hAnsi="Arial" w:cs="Arial"/>
              </w:rPr>
              <w:t>96</w:t>
            </w:r>
            <w:r w:rsidRPr="00C508E7">
              <w:rPr>
                <w:rFonts w:ascii="Arial" w:hAnsi="Arial" w:cs="Arial"/>
              </w:rPr>
              <w:t>.</w:t>
            </w:r>
            <w:r w:rsidR="00A92EAB" w:rsidRPr="00C508E7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3</w:t>
            </w:r>
            <w:r w:rsidR="00A92EAB" w:rsidRPr="00C508E7">
              <w:rPr>
                <w:rFonts w:ascii="Arial" w:hAnsi="Arial" w:cs="Arial"/>
              </w:rPr>
              <w:t>57</w:t>
            </w:r>
            <w:r w:rsidRPr="00C508E7">
              <w:rPr>
                <w:rFonts w:ascii="Arial" w:hAnsi="Arial" w:cs="Arial"/>
              </w:rPr>
              <w:t>.</w:t>
            </w:r>
            <w:r w:rsidR="00A92EAB" w:rsidRPr="00C508E7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vAlign w:val="bottom"/>
          </w:tcPr>
          <w:p w:rsidR="00757918" w:rsidRPr="00C508E7" w:rsidRDefault="00757918" w:rsidP="00C508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08E7">
              <w:rPr>
                <w:rFonts w:ascii="Arial" w:hAnsi="Arial" w:cs="Arial"/>
              </w:rPr>
              <w:t>9</w:t>
            </w:r>
            <w:r w:rsidR="00A92EAB" w:rsidRPr="00C508E7">
              <w:rPr>
                <w:rFonts w:ascii="Arial" w:hAnsi="Arial" w:cs="Arial"/>
              </w:rPr>
              <w:t>54</w:t>
            </w:r>
            <w:r w:rsidRPr="00C508E7">
              <w:rPr>
                <w:rFonts w:ascii="Arial" w:hAnsi="Arial" w:cs="Arial"/>
              </w:rPr>
              <w:t>.</w:t>
            </w:r>
            <w:r w:rsidR="00A92EAB" w:rsidRPr="00C508E7">
              <w:rPr>
                <w:rFonts w:ascii="Arial" w:hAnsi="Arial" w:cs="Arial"/>
              </w:rPr>
              <w:t>5</w:t>
            </w:r>
          </w:p>
        </w:tc>
      </w:tr>
    </w:tbl>
    <w:p w:rsidR="00757918" w:rsidRDefault="00757918" w:rsidP="00757918">
      <w:pPr>
        <w:pStyle w:val="ListeParagraf"/>
        <w:spacing w:line="360" w:lineRule="auto"/>
        <w:ind w:left="0" w:firstLine="708"/>
        <w:jc w:val="both"/>
        <w:rPr>
          <w:sz w:val="18"/>
          <w:szCs w:val="18"/>
        </w:rPr>
      </w:pPr>
    </w:p>
    <w:p w:rsidR="00BD7157" w:rsidRDefault="00BD7157" w:rsidP="00757918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757918" w:rsidRPr="00E82990" w:rsidRDefault="00757918" w:rsidP="00757918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  <w:r w:rsidRPr="00E82990">
        <w:rPr>
          <w:sz w:val="36"/>
          <w:szCs w:val="36"/>
        </w:rPr>
        <w:t xml:space="preserve">Yıllar itibari ile hem kamu brüt iç borç stoku ve hem de kamu brüt toplam borç stoku arttığı için kamunun brüt toplam borç stoku da artmıştır ve </w:t>
      </w:r>
      <w:r w:rsidRPr="00E82990">
        <w:rPr>
          <w:b/>
          <w:sz w:val="36"/>
          <w:szCs w:val="36"/>
        </w:rPr>
        <w:t>2002 yılında 256.8 milyar TL olan kamu brüt toplam borç stoku 2017 yılında 9</w:t>
      </w:r>
      <w:r w:rsidR="00A92EAB" w:rsidRPr="00E82990">
        <w:rPr>
          <w:b/>
          <w:sz w:val="36"/>
          <w:szCs w:val="36"/>
        </w:rPr>
        <w:t>54</w:t>
      </w:r>
      <w:r w:rsidRPr="00E82990">
        <w:rPr>
          <w:b/>
          <w:sz w:val="36"/>
          <w:szCs w:val="36"/>
        </w:rPr>
        <w:t>.</w:t>
      </w:r>
      <w:r w:rsidR="00A92EAB" w:rsidRPr="00E82990">
        <w:rPr>
          <w:b/>
          <w:sz w:val="36"/>
          <w:szCs w:val="36"/>
        </w:rPr>
        <w:t xml:space="preserve">5 </w:t>
      </w:r>
      <w:r w:rsidRPr="00E82990">
        <w:rPr>
          <w:b/>
          <w:sz w:val="36"/>
          <w:szCs w:val="36"/>
        </w:rPr>
        <w:t>milyar TL’ye yükselmiştir.</w:t>
      </w:r>
      <w:r w:rsidR="00A92EAB" w:rsidRPr="00E82990">
        <w:rPr>
          <w:sz w:val="36"/>
          <w:szCs w:val="36"/>
        </w:rPr>
        <w:t xml:space="preserve"> Kamu Brüt Toplam Borç Stokunun son bir yıldaki artışı endişe vericidir. Zira son bir yılda Kamu Brüt Toplam Borç Stokundaki artış 134.7 </w:t>
      </w:r>
      <w:r w:rsidR="002E6F21" w:rsidRPr="00E82990">
        <w:rPr>
          <w:sz w:val="36"/>
          <w:szCs w:val="36"/>
        </w:rPr>
        <w:t xml:space="preserve">(954.5 -  819.8 = 134.7) </w:t>
      </w:r>
      <w:r w:rsidR="00A92EAB" w:rsidRPr="00E82990">
        <w:rPr>
          <w:sz w:val="36"/>
          <w:szCs w:val="36"/>
        </w:rPr>
        <w:t>milyar TL’dir.</w:t>
      </w:r>
    </w:p>
    <w:p w:rsidR="00094237" w:rsidRDefault="00094237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617872" w:rsidRDefault="00617872" w:rsidP="00757918">
      <w:pPr>
        <w:pStyle w:val="ListeParagraf"/>
        <w:spacing w:line="360" w:lineRule="auto"/>
        <w:ind w:left="0" w:firstLine="708"/>
        <w:jc w:val="both"/>
        <w:rPr>
          <w:sz w:val="20"/>
          <w:szCs w:val="20"/>
        </w:rPr>
      </w:pPr>
    </w:p>
    <w:p w:rsidR="00E82990" w:rsidRDefault="00882A48" w:rsidP="00E82990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70EAF" w:rsidRDefault="00F70EAF" w:rsidP="00F70EAF">
      <w:pPr>
        <w:spacing w:after="12" w:line="240" w:lineRule="exact"/>
        <w:ind w:left="860" w:right="40" w:hanging="860"/>
        <w:rPr>
          <w:rStyle w:val="Bodytext11"/>
          <w:sz w:val="24"/>
          <w:szCs w:val="24"/>
        </w:rPr>
      </w:pPr>
      <w:r w:rsidRPr="00D3114D">
        <w:rPr>
          <w:rStyle w:val="Bodytext11"/>
          <w:sz w:val="24"/>
          <w:szCs w:val="24"/>
        </w:rPr>
        <w:lastRenderedPageBreak/>
        <w:t>Tablo 3: Yıllar İtibariyle Türkiye'nin</w:t>
      </w:r>
      <w:r w:rsidR="00D3114D">
        <w:rPr>
          <w:rStyle w:val="Bodytext11"/>
          <w:sz w:val="24"/>
          <w:szCs w:val="24"/>
        </w:rPr>
        <w:t xml:space="preserve"> Kamu Sektörüne Ait Dış Borç ve</w:t>
      </w:r>
      <w:r w:rsidR="00D3114D">
        <w:rPr>
          <w:rStyle w:val="Bodytext11"/>
          <w:sz w:val="24"/>
          <w:szCs w:val="24"/>
        </w:rPr>
        <w:br/>
      </w:r>
      <w:r w:rsidRPr="00D3114D">
        <w:rPr>
          <w:rStyle w:val="Bodytext11"/>
          <w:sz w:val="24"/>
          <w:szCs w:val="24"/>
        </w:rPr>
        <w:t>İç Borcu ile Toplam Borç Durumu (Milyar TL)</w:t>
      </w:r>
    </w:p>
    <w:p w:rsidR="00D3114D" w:rsidRPr="00D3114D" w:rsidRDefault="00D3114D" w:rsidP="00F70EAF">
      <w:pPr>
        <w:spacing w:after="12" w:line="240" w:lineRule="exact"/>
        <w:ind w:left="860" w:right="40" w:hanging="860"/>
      </w:pPr>
    </w:p>
    <w:tbl>
      <w:tblPr>
        <w:tblW w:w="65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4"/>
        <w:gridCol w:w="1602"/>
        <w:gridCol w:w="1704"/>
        <w:gridCol w:w="2030"/>
      </w:tblGrid>
      <w:tr w:rsidR="00F70EAF" w:rsidRPr="00D3114D" w:rsidTr="00D3114D">
        <w:trPr>
          <w:trHeight w:val="28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4727A" w:rsidRDefault="00F70EAF" w:rsidP="0004727A">
            <w:pPr>
              <w:framePr w:w="7120" w:h="9447" w:hRule="exact" w:wrap="notBeside" w:vAnchor="text" w:hAnchor="page" w:x="2524" w:y="4"/>
              <w:spacing w:before="240"/>
              <w:ind w:left="1"/>
              <w:jc w:val="center"/>
              <w:rPr>
                <w:b/>
              </w:rPr>
            </w:pPr>
            <w:r w:rsidRPr="0004727A">
              <w:rPr>
                <w:rStyle w:val="Bodytext13"/>
                <w:b/>
                <w:sz w:val="24"/>
                <w:szCs w:val="24"/>
              </w:rPr>
              <w:t>Yıllar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4727A" w:rsidRDefault="00D3114D" w:rsidP="00B9192F">
            <w:pPr>
              <w:framePr w:w="7120" w:h="9447" w:hRule="exact" w:wrap="notBeside" w:vAnchor="text" w:hAnchor="page" w:x="2524" w:y="4"/>
              <w:spacing w:before="120" w:after="120"/>
              <w:ind w:left="100"/>
              <w:jc w:val="center"/>
              <w:rPr>
                <w:b/>
              </w:rPr>
            </w:pPr>
            <w:r w:rsidRPr="0004727A">
              <w:rPr>
                <w:rStyle w:val="Bodytext13"/>
                <w:b/>
                <w:sz w:val="24"/>
                <w:szCs w:val="24"/>
              </w:rPr>
              <w:t>Brüt</w:t>
            </w:r>
            <w:r w:rsidRPr="0004727A">
              <w:rPr>
                <w:rStyle w:val="Bodytext13"/>
                <w:b/>
                <w:sz w:val="24"/>
                <w:szCs w:val="24"/>
              </w:rPr>
              <w:br/>
            </w:r>
            <w:r w:rsidR="00F70EAF" w:rsidRPr="0004727A">
              <w:rPr>
                <w:rStyle w:val="Bodytext13"/>
                <w:b/>
                <w:sz w:val="24"/>
                <w:szCs w:val="24"/>
              </w:rPr>
              <w:t>İç Borç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4727A" w:rsidRDefault="00D3114D" w:rsidP="00B9192F">
            <w:pPr>
              <w:framePr w:w="7120" w:h="9447" w:hRule="exact" w:wrap="notBeside" w:vAnchor="text" w:hAnchor="page" w:x="2524" w:y="4"/>
              <w:spacing w:before="120" w:after="120"/>
              <w:ind w:left="100"/>
              <w:jc w:val="center"/>
              <w:rPr>
                <w:b/>
              </w:rPr>
            </w:pPr>
            <w:r w:rsidRPr="0004727A">
              <w:rPr>
                <w:rStyle w:val="Bodytext13"/>
                <w:b/>
                <w:sz w:val="24"/>
                <w:szCs w:val="24"/>
              </w:rPr>
              <w:t>Brüt</w:t>
            </w:r>
            <w:r w:rsidRPr="0004727A">
              <w:rPr>
                <w:rStyle w:val="Bodytext13"/>
                <w:b/>
                <w:sz w:val="24"/>
                <w:szCs w:val="24"/>
              </w:rPr>
              <w:br/>
            </w:r>
            <w:r w:rsidR="00F70EAF" w:rsidRPr="0004727A">
              <w:rPr>
                <w:rStyle w:val="Bodytext13"/>
                <w:b/>
                <w:sz w:val="24"/>
                <w:szCs w:val="24"/>
              </w:rPr>
              <w:t>Dış Borç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04727A" w:rsidRDefault="00D3114D" w:rsidP="00B9192F">
            <w:pPr>
              <w:framePr w:w="7120" w:h="9447" w:hRule="exact" w:wrap="notBeside" w:vAnchor="text" w:hAnchor="page" w:x="2524" w:y="4"/>
              <w:spacing w:before="120" w:after="120"/>
              <w:ind w:left="120"/>
              <w:jc w:val="center"/>
              <w:rPr>
                <w:b/>
              </w:rPr>
            </w:pPr>
            <w:r w:rsidRPr="0004727A">
              <w:rPr>
                <w:rStyle w:val="Bodytext13"/>
                <w:b/>
                <w:sz w:val="24"/>
                <w:szCs w:val="24"/>
              </w:rPr>
              <w:t>Brüt</w:t>
            </w:r>
            <w:r w:rsidRPr="0004727A">
              <w:rPr>
                <w:rStyle w:val="Bodytext13"/>
                <w:b/>
                <w:sz w:val="24"/>
                <w:szCs w:val="24"/>
              </w:rPr>
              <w:br/>
            </w:r>
            <w:r w:rsidR="00F70EAF" w:rsidRPr="0004727A">
              <w:rPr>
                <w:rStyle w:val="Bodytext13"/>
                <w:b/>
                <w:sz w:val="24"/>
                <w:szCs w:val="24"/>
              </w:rPr>
              <w:t>Toplam Borç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54.5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30.3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84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>8</w:t>
            </w:r>
          </w:p>
        </w:tc>
      </w:tr>
      <w:tr w:rsidR="00F70EAF" w:rsidRPr="00D3114D" w:rsidTr="0080077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125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63.4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189.0</w:t>
            </w:r>
          </w:p>
        </w:tc>
      </w:tr>
      <w:tr w:rsidR="00F70EAF" w:rsidRPr="00D3114D" w:rsidTr="0080077D">
        <w:trPr>
          <w:trHeight w:val="27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155.2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101.6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256.8</w:t>
            </w:r>
          </w:p>
        </w:tc>
      </w:tr>
      <w:tr w:rsidR="00F70EAF" w:rsidRPr="00D3114D" w:rsidTr="0080077D">
        <w:trPr>
          <w:trHeight w:val="250"/>
          <w:jc w:val="center"/>
        </w:trPr>
        <w:tc>
          <w:tcPr>
            <w:tcW w:w="12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2003</w:t>
            </w:r>
          </w:p>
        </w:tc>
        <w:tc>
          <w:tcPr>
            <w:tcW w:w="1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202 1</w:t>
            </w:r>
          </w:p>
        </w:tc>
        <w:tc>
          <w:tcPr>
            <w:tcW w:w="17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95.4</w:t>
            </w:r>
          </w:p>
        </w:tc>
        <w:tc>
          <w:tcPr>
            <w:tcW w:w="20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297.5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235.1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97.9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333.0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259.8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91.4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351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 xml:space="preserve"> 2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268.3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97.3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365.6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273.3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81.8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355.1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295.8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111.5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407.3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347.4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117.4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464.8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368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127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496.5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387.6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158.5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546.1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408.4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154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 xml:space="preserve"> 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562.8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430.3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192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 xml:space="preserve"> 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622</w:t>
            </w:r>
            <w:r w:rsidR="001A0A3B">
              <w:rPr>
                <w:rStyle w:val="Bodytext13"/>
                <w:sz w:val="24"/>
                <w:szCs w:val="24"/>
              </w:rPr>
              <w:t>.</w:t>
            </w:r>
            <w:r w:rsidRPr="00D3114D">
              <w:rPr>
                <w:rStyle w:val="Bodytext13"/>
                <w:sz w:val="24"/>
                <w:szCs w:val="24"/>
              </w:rPr>
              <w:t>9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443.4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206.6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650.0</w:t>
            </w:r>
          </w:p>
        </w:tc>
      </w:tr>
      <w:tr w:rsidR="00F70EAF" w:rsidRPr="00D3114D" w:rsidTr="00D3114D">
        <w:trPr>
          <w:trHeight w:val="26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474.2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247.8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722.0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514.7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1A0A3B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30</w:t>
            </w:r>
            <w:r w:rsidR="001A0A3B">
              <w:rPr>
                <w:rStyle w:val="Bodytext13"/>
                <w:sz w:val="24"/>
                <w:szCs w:val="24"/>
              </w:rPr>
              <w:t>5.</w:t>
            </w:r>
            <w:r w:rsidRPr="00D3114D">
              <w:rPr>
                <w:rStyle w:val="Bodytext13"/>
                <w:sz w:val="24"/>
                <w:szCs w:val="24"/>
              </w:rPr>
              <w:t xml:space="preserve"> </w:t>
            </w:r>
            <w:r w:rsidR="001A0A3B">
              <w:rPr>
                <w:rStyle w:val="Bodytext13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1A0A3B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rPr>
                <w:rStyle w:val="Bodytext13"/>
                <w:sz w:val="24"/>
                <w:szCs w:val="24"/>
              </w:rPr>
              <w:t>819</w:t>
            </w:r>
            <w:r w:rsidR="001A0A3B">
              <w:rPr>
                <w:rStyle w:val="Bodytext13"/>
                <w:sz w:val="24"/>
                <w:szCs w:val="24"/>
              </w:rPr>
              <w:t>.8</w:t>
            </w:r>
          </w:p>
        </w:tc>
      </w:tr>
      <w:tr w:rsidR="00F70EAF" w:rsidRPr="00D3114D" w:rsidTr="00D3114D">
        <w:trPr>
          <w:trHeight w:val="26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1"/>
              <w:jc w:val="center"/>
            </w:pPr>
            <w:r w:rsidRPr="00D3114D">
              <w:rPr>
                <w:rStyle w:val="Bodytext13"/>
                <w:sz w:val="24"/>
                <w:szCs w:val="24"/>
              </w:rPr>
              <w:t>2017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340" w:right="412"/>
              <w:jc w:val="right"/>
            </w:pPr>
            <w:r w:rsidRPr="00D3114D">
              <w:t>596.6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400" w:right="415"/>
              <w:jc w:val="right"/>
            </w:pPr>
            <w:r w:rsidRPr="00D3114D">
              <w:t>357.9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D3114D" w:rsidRDefault="00F70EAF" w:rsidP="00B9192F">
            <w:pPr>
              <w:framePr w:w="7120" w:h="9447" w:hRule="exact" w:wrap="notBeside" w:vAnchor="text" w:hAnchor="page" w:x="2524" w:y="4"/>
              <w:spacing w:before="60" w:after="60"/>
              <w:ind w:left="540" w:right="603"/>
              <w:jc w:val="right"/>
            </w:pPr>
            <w:r w:rsidRPr="00D3114D">
              <w:t>954.5</w:t>
            </w:r>
          </w:p>
        </w:tc>
      </w:tr>
    </w:tbl>
    <w:p w:rsidR="00D3114D" w:rsidRPr="00D3114D" w:rsidRDefault="00D3114D" w:rsidP="00B9192F">
      <w:pPr>
        <w:framePr w:w="7120" w:h="9447" w:hRule="exact" w:wrap="notBeside" w:vAnchor="text" w:hAnchor="page" w:x="2524" w:y="4"/>
        <w:spacing w:line="170" w:lineRule="exact"/>
        <w:jc w:val="center"/>
        <w:rPr>
          <w:rStyle w:val="Tablecaption"/>
          <w:sz w:val="24"/>
          <w:szCs w:val="24"/>
        </w:rPr>
      </w:pPr>
    </w:p>
    <w:p w:rsidR="00F70EAF" w:rsidRPr="00D3114D" w:rsidRDefault="00F70EAF" w:rsidP="00B9192F">
      <w:pPr>
        <w:framePr w:w="7120" w:h="9447" w:hRule="exact" w:wrap="notBeside" w:vAnchor="text" w:hAnchor="page" w:x="2524" w:y="4"/>
        <w:spacing w:before="120" w:line="170" w:lineRule="exact"/>
        <w:ind w:firstLine="708"/>
      </w:pPr>
      <w:r w:rsidRPr="00D3114D">
        <w:rPr>
          <w:rStyle w:val="Tablecaption"/>
          <w:sz w:val="24"/>
          <w:szCs w:val="24"/>
        </w:rPr>
        <w:t>Kaynak:</w:t>
      </w:r>
      <w:hyperlink r:id="rId11" w:history="1">
        <w:r w:rsidRPr="00D3114D">
          <w:rPr>
            <w:rStyle w:val="Kpr"/>
          </w:rPr>
          <w:t xml:space="preserve"> </w:t>
        </w:r>
        <w:r w:rsidRPr="00D3114D">
          <w:rPr>
            <w:rStyle w:val="Kpr"/>
            <w:lang w:val="en-US"/>
          </w:rPr>
          <w:t>www.hazine.gov.tr</w:t>
        </w:r>
      </w:hyperlink>
    </w:p>
    <w:p w:rsidR="00F70EAF" w:rsidRDefault="00F70EAF" w:rsidP="00F70EAF">
      <w:pPr>
        <w:rPr>
          <w:sz w:val="2"/>
          <w:szCs w:val="2"/>
        </w:rPr>
      </w:pPr>
      <w:r>
        <w:br w:type="page"/>
      </w:r>
    </w:p>
    <w:p w:rsidR="00BD7157" w:rsidRDefault="00BD7157" w:rsidP="00E82990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BD7157" w:rsidRDefault="00BD7157" w:rsidP="00E82990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b/>
          <w:sz w:val="20"/>
          <w:szCs w:val="20"/>
        </w:rPr>
      </w:pPr>
    </w:p>
    <w:p w:rsidR="00112035" w:rsidRPr="005314AB" w:rsidRDefault="00112035" w:rsidP="00BD7157">
      <w:pPr>
        <w:pStyle w:val="ListeParagraf"/>
        <w:numPr>
          <w:ilvl w:val="0"/>
          <w:numId w:val="9"/>
        </w:numPr>
        <w:tabs>
          <w:tab w:val="left" w:pos="284"/>
          <w:tab w:val="left" w:pos="993"/>
        </w:tabs>
        <w:spacing w:after="200" w:line="360" w:lineRule="auto"/>
        <w:ind w:hanging="75"/>
        <w:jc w:val="both"/>
        <w:rPr>
          <w:b/>
          <w:sz w:val="36"/>
          <w:szCs w:val="36"/>
        </w:rPr>
      </w:pPr>
      <w:r w:rsidRPr="005314AB">
        <w:rPr>
          <w:b/>
          <w:sz w:val="36"/>
          <w:szCs w:val="36"/>
        </w:rPr>
        <w:t>DIŞ TİCARET:</w:t>
      </w:r>
    </w:p>
    <w:p w:rsidR="00112035" w:rsidRPr="005314AB" w:rsidRDefault="00112035" w:rsidP="00E82990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sz w:val="36"/>
          <w:szCs w:val="36"/>
        </w:rPr>
      </w:pPr>
      <w:r w:rsidRPr="005314AB">
        <w:rPr>
          <w:sz w:val="36"/>
          <w:szCs w:val="36"/>
        </w:rPr>
        <w:tab/>
      </w:r>
      <w:r w:rsidRPr="005314AB">
        <w:rPr>
          <w:sz w:val="36"/>
          <w:szCs w:val="36"/>
        </w:rPr>
        <w:tab/>
      </w:r>
      <w:r w:rsidR="00834009" w:rsidRPr="005314AB">
        <w:rPr>
          <w:sz w:val="36"/>
          <w:szCs w:val="36"/>
        </w:rPr>
        <w:t xml:space="preserve">TÜİK </w:t>
      </w:r>
      <w:r w:rsidR="00E15BC5" w:rsidRPr="005314AB">
        <w:rPr>
          <w:sz w:val="36"/>
          <w:szCs w:val="36"/>
        </w:rPr>
        <w:t>tarafından 201</w:t>
      </w:r>
      <w:r w:rsidR="00830777" w:rsidRPr="005314AB">
        <w:rPr>
          <w:sz w:val="36"/>
          <w:szCs w:val="36"/>
        </w:rPr>
        <w:t>8</w:t>
      </w:r>
      <w:r w:rsidR="00E15BC5" w:rsidRPr="005314AB">
        <w:rPr>
          <w:sz w:val="36"/>
          <w:szCs w:val="36"/>
        </w:rPr>
        <w:t xml:space="preserve"> yılının </w:t>
      </w:r>
      <w:r w:rsidR="00691ACE" w:rsidRPr="005314AB">
        <w:rPr>
          <w:sz w:val="36"/>
          <w:szCs w:val="36"/>
        </w:rPr>
        <w:t xml:space="preserve">Mart </w:t>
      </w:r>
      <w:r w:rsidR="00E15BC5" w:rsidRPr="005314AB">
        <w:rPr>
          <w:sz w:val="36"/>
          <w:szCs w:val="36"/>
        </w:rPr>
        <w:t xml:space="preserve">ayına ait dış ticaret </w:t>
      </w:r>
      <w:r w:rsidR="002E6F21" w:rsidRPr="005314AB">
        <w:rPr>
          <w:sz w:val="36"/>
          <w:szCs w:val="36"/>
        </w:rPr>
        <w:t xml:space="preserve">verileri </w:t>
      </w:r>
      <w:r w:rsidR="00E15BC5" w:rsidRPr="005314AB">
        <w:rPr>
          <w:sz w:val="36"/>
          <w:szCs w:val="36"/>
        </w:rPr>
        <w:t>açıklandı. Bu verilere göre</w:t>
      </w:r>
      <w:r w:rsidR="00FF29ED" w:rsidRPr="005314AB">
        <w:rPr>
          <w:sz w:val="36"/>
          <w:szCs w:val="36"/>
        </w:rPr>
        <w:t>,</w:t>
      </w:r>
      <w:r w:rsidR="00E15BC5" w:rsidRPr="005314AB">
        <w:rPr>
          <w:sz w:val="36"/>
          <w:szCs w:val="36"/>
        </w:rPr>
        <w:t xml:space="preserve"> </w:t>
      </w:r>
      <w:r w:rsidR="00DB71B2" w:rsidRPr="005314AB">
        <w:rPr>
          <w:b/>
          <w:sz w:val="36"/>
          <w:szCs w:val="36"/>
        </w:rPr>
        <w:t>201</w:t>
      </w:r>
      <w:r w:rsidR="00830777" w:rsidRPr="005314AB">
        <w:rPr>
          <w:b/>
          <w:sz w:val="36"/>
          <w:szCs w:val="36"/>
        </w:rPr>
        <w:t>8</w:t>
      </w:r>
      <w:r w:rsidR="00DB71B2" w:rsidRPr="005314AB">
        <w:rPr>
          <w:b/>
          <w:sz w:val="36"/>
          <w:szCs w:val="36"/>
        </w:rPr>
        <w:t xml:space="preserve"> yılının </w:t>
      </w:r>
      <w:r w:rsidR="00513C97" w:rsidRPr="005314AB">
        <w:rPr>
          <w:b/>
          <w:sz w:val="36"/>
          <w:szCs w:val="36"/>
        </w:rPr>
        <w:t xml:space="preserve">ilk </w:t>
      </w:r>
      <w:r w:rsidR="00691ACE" w:rsidRPr="005314AB">
        <w:rPr>
          <w:b/>
          <w:sz w:val="36"/>
          <w:szCs w:val="36"/>
        </w:rPr>
        <w:t>üç</w:t>
      </w:r>
      <w:r w:rsidR="00513C97" w:rsidRPr="005314AB">
        <w:rPr>
          <w:b/>
          <w:sz w:val="36"/>
          <w:szCs w:val="36"/>
        </w:rPr>
        <w:t xml:space="preserve"> </w:t>
      </w:r>
      <w:r w:rsidR="00DB71B2" w:rsidRPr="005314AB">
        <w:rPr>
          <w:b/>
          <w:sz w:val="36"/>
          <w:szCs w:val="36"/>
        </w:rPr>
        <w:t xml:space="preserve">ayında </w:t>
      </w:r>
      <w:r w:rsidR="00E15BC5" w:rsidRPr="005314AB">
        <w:rPr>
          <w:b/>
          <w:sz w:val="36"/>
          <w:szCs w:val="36"/>
        </w:rPr>
        <w:t>201</w:t>
      </w:r>
      <w:r w:rsidR="00830777" w:rsidRPr="005314AB">
        <w:rPr>
          <w:b/>
          <w:sz w:val="36"/>
          <w:szCs w:val="36"/>
        </w:rPr>
        <w:t>7</w:t>
      </w:r>
      <w:r w:rsidR="00E15BC5" w:rsidRPr="005314AB">
        <w:rPr>
          <w:b/>
          <w:sz w:val="36"/>
          <w:szCs w:val="36"/>
        </w:rPr>
        <w:t xml:space="preserve"> yılı</w:t>
      </w:r>
      <w:r w:rsidR="00C9673A" w:rsidRPr="005314AB">
        <w:rPr>
          <w:b/>
          <w:sz w:val="36"/>
          <w:szCs w:val="36"/>
        </w:rPr>
        <w:t>nın</w:t>
      </w:r>
      <w:r w:rsidR="00FF29ED" w:rsidRPr="005314AB">
        <w:rPr>
          <w:b/>
          <w:sz w:val="36"/>
          <w:szCs w:val="36"/>
        </w:rPr>
        <w:t xml:space="preserve"> </w:t>
      </w:r>
      <w:r w:rsidR="00513C97" w:rsidRPr="005314AB">
        <w:rPr>
          <w:b/>
          <w:sz w:val="36"/>
          <w:szCs w:val="36"/>
        </w:rPr>
        <w:t xml:space="preserve">aynı </w:t>
      </w:r>
      <w:r w:rsidR="00FF29ED" w:rsidRPr="005314AB">
        <w:rPr>
          <w:b/>
          <w:sz w:val="36"/>
          <w:szCs w:val="36"/>
        </w:rPr>
        <w:t>ay</w:t>
      </w:r>
      <w:r w:rsidR="00513C97" w:rsidRPr="005314AB">
        <w:rPr>
          <w:b/>
          <w:sz w:val="36"/>
          <w:szCs w:val="36"/>
        </w:rPr>
        <w:t>ları</w:t>
      </w:r>
      <w:r w:rsidR="00FF29ED" w:rsidRPr="005314AB">
        <w:rPr>
          <w:b/>
          <w:sz w:val="36"/>
          <w:szCs w:val="36"/>
        </w:rPr>
        <w:t>na</w:t>
      </w:r>
      <w:r w:rsidR="00E15BC5" w:rsidRPr="005314AB">
        <w:rPr>
          <w:b/>
          <w:sz w:val="36"/>
          <w:szCs w:val="36"/>
        </w:rPr>
        <w:t xml:space="preserve"> göre ihracat </w:t>
      </w:r>
      <w:r w:rsidR="00FF29ED" w:rsidRPr="005314AB">
        <w:rPr>
          <w:b/>
          <w:sz w:val="36"/>
          <w:szCs w:val="36"/>
        </w:rPr>
        <w:t xml:space="preserve">% </w:t>
      </w:r>
      <w:r w:rsidR="00691ACE" w:rsidRPr="005314AB">
        <w:rPr>
          <w:b/>
          <w:sz w:val="36"/>
          <w:szCs w:val="36"/>
        </w:rPr>
        <w:t>8.9</w:t>
      </w:r>
      <w:r w:rsidR="00FF29ED" w:rsidRPr="005314AB">
        <w:rPr>
          <w:b/>
          <w:sz w:val="36"/>
          <w:szCs w:val="36"/>
        </w:rPr>
        <w:t xml:space="preserve"> </w:t>
      </w:r>
      <w:r w:rsidR="00E15BC5" w:rsidRPr="005314AB">
        <w:rPr>
          <w:b/>
          <w:sz w:val="36"/>
          <w:szCs w:val="36"/>
        </w:rPr>
        <w:t xml:space="preserve">ithalat </w:t>
      </w:r>
      <w:r w:rsidR="00FF29ED" w:rsidRPr="005314AB">
        <w:rPr>
          <w:b/>
          <w:sz w:val="36"/>
          <w:szCs w:val="36"/>
        </w:rPr>
        <w:t xml:space="preserve">ise </w:t>
      </w:r>
      <w:r w:rsidR="00920B4F" w:rsidRPr="005314AB">
        <w:rPr>
          <w:b/>
          <w:sz w:val="36"/>
          <w:szCs w:val="36"/>
        </w:rPr>
        <w:t xml:space="preserve"> </w:t>
      </w:r>
      <w:r w:rsidR="00FF29ED" w:rsidRPr="005314AB">
        <w:rPr>
          <w:b/>
          <w:sz w:val="36"/>
          <w:szCs w:val="36"/>
        </w:rPr>
        <w:t xml:space="preserve">% </w:t>
      </w:r>
      <w:r w:rsidR="00691ACE" w:rsidRPr="005314AB">
        <w:rPr>
          <w:b/>
          <w:sz w:val="36"/>
          <w:szCs w:val="36"/>
        </w:rPr>
        <w:t>22.7</w:t>
      </w:r>
      <w:r w:rsidR="00FF29ED" w:rsidRPr="005314AB">
        <w:rPr>
          <w:b/>
          <w:sz w:val="36"/>
          <w:szCs w:val="36"/>
        </w:rPr>
        <w:t xml:space="preserve"> </w:t>
      </w:r>
      <w:r w:rsidR="00B1149B" w:rsidRPr="005314AB">
        <w:rPr>
          <w:b/>
          <w:sz w:val="36"/>
          <w:szCs w:val="36"/>
        </w:rPr>
        <w:t>artmıştır.</w:t>
      </w:r>
      <w:r w:rsidR="00096FA2" w:rsidRPr="005314AB">
        <w:rPr>
          <w:sz w:val="36"/>
          <w:szCs w:val="36"/>
        </w:rPr>
        <w:t xml:space="preserve"> Bunu </w:t>
      </w:r>
      <w:r w:rsidR="00F86B0B" w:rsidRPr="005314AB">
        <w:rPr>
          <w:sz w:val="36"/>
          <w:szCs w:val="36"/>
        </w:rPr>
        <w:t>2018 yılı</w:t>
      </w:r>
      <w:r w:rsidR="00510A78" w:rsidRPr="005314AB">
        <w:rPr>
          <w:sz w:val="36"/>
          <w:szCs w:val="36"/>
        </w:rPr>
        <w:t>nın</w:t>
      </w:r>
      <w:r w:rsidR="00F86B0B" w:rsidRPr="005314AB">
        <w:rPr>
          <w:sz w:val="36"/>
          <w:szCs w:val="36"/>
        </w:rPr>
        <w:t xml:space="preserve"> </w:t>
      </w:r>
      <w:r w:rsidR="00510A78" w:rsidRPr="005314AB">
        <w:rPr>
          <w:sz w:val="36"/>
          <w:szCs w:val="36"/>
        </w:rPr>
        <w:t xml:space="preserve">ilk </w:t>
      </w:r>
      <w:r w:rsidR="00691ACE" w:rsidRPr="005314AB">
        <w:rPr>
          <w:sz w:val="36"/>
          <w:szCs w:val="36"/>
        </w:rPr>
        <w:t>üç</w:t>
      </w:r>
      <w:r w:rsidR="006A5194" w:rsidRPr="005314AB">
        <w:rPr>
          <w:sz w:val="36"/>
          <w:szCs w:val="36"/>
        </w:rPr>
        <w:t xml:space="preserve"> ayında </w:t>
      </w:r>
      <w:r w:rsidR="00096FA2" w:rsidRPr="005314AB">
        <w:rPr>
          <w:b/>
          <w:sz w:val="36"/>
          <w:szCs w:val="36"/>
        </w:rPr>
        <w:t>“</w:t>
      </w:r>
      <w:r w:rsidR="005B23CE" w:rsidRPr="005314AB">
        <w:rPr>
          <w:b/>
          <w:sz w:val="36"/>
          <w:szCs w:val="36"/>
        </w:rPr>
        <w:t>2017 yılı</w:t>
      </w:r>
      <w:r w:rsidR="00691ACE" w:rsidRPr="005314AB">
        <w:rPr>
          <w:b/>
          <w:sz w:val="36"/>
          <w:szCs w:val="36"/>
        </w:rPr>
        <w:t>nın ilk üç</w:t>
      </w:r>
      <w:r w:rsidR="005B23CE" w:rsidRPr="005314AB">
        <w:rPr>
          <w:b/>
          <w:sz w:val="36"/>
          <w:szCs w:val="36"/>
        </w:rPr>
        <w:t xml:space="preserve"> </w:t>
      </w:r>
      <w:r w:rsidR="00096FA2" w:rsidRPr="005314AB">
        <w:rPr>
          <w:b/>
          <w:sz w:val="36"/>
          <w:szCs w:val="36"/>
        </w:rPr>
        <w:t>ayına göre ihracatta artış, ithalatta ise patlama düzeyinde yükselme vardır”</w:t>
      </w:r>
      <w:r w:rsidR="00096FA2" w:rsidRPr="005314AB">
        <w:rPr>
          <w:sz w:val="36"/>
          <w:szCs w:val="36"/>
        </w:rPr>
        <w:t xml:space="preserve"> diye ifade edebiliriz.</w:t>
      </w:r>
      <w:r w:rsidR="00F610A3" w:rsidRPr="005314AB">
        <w:rPr>
          <w:sz w:val="36"/>
          <w:szCs w:val="36"/>
        </w:rPr>
        <w:t xml:space="preserve"> </w:t>
      </w:r>
    </w:p>
    <w:p w:rsidR="003242FB" w:rsidRPr="005314AB" w:rsidRDefault="00112035" w:rsidP="00112035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sz w:val="36"/>
          <w:szCs w:val="36"/>
        </w:rPr>
      </w:pPr>
      <w:r w:rsidRPr="005314AB">
        <w:rPr>
          <w:sz w:val="36"/>
          <w:szCs w:val="36"/>
        </w:rPr>
        <w:tab/>
      </w:r>
      <w:r w:rsidRPr="005314AB">
        <w:rPr>
          <w:sz w:val="36"/>
          <w:szCs w:val="36"/>
        </w:rPr>
        <w:tab/>
      </w:r>
      <w:r w:rsidR="00F610A3" w:rsidRPr="005314AB">
        <w:rPr>
          <w:sz w:val="36"/>
          <w:szCs w:val="36"/>
        </w:rPr>
        <w:t>D</w:t>
      </w:r>
      <w:r w:rsidR="003242FB" w:rsidRPr="005314AB">
        <w:rPr>
          <w:sz w:val="36"/>
          <w:szCs w:val="36"/>
        </w:rPr>
        <w:t>ış ticaret açığı ve cari aç</w:t>
      </w:r>
      <w:r w:rsidR="00096FA2" w:rsidRPr="005314AB">
        <w:rPr>
          <w:sz w:val="36"/>
          <w:szCs w:val="36"/>
        </w:rPr>
        <w:t>ık</w:t>
      </w:r>
      <w:r w:rsidR="003242FB" w:rsidRPr="005314AB">
        <w:rPr>
          <w:sz w:val="36"/>
          <w:szCs w:val="36"/>
        </w:rPr>
        <w:t xml:space="preserve"> </w:t>
      </w:r>
      <w:r w:rsidR="00FC41E2" w:rsidRPr="005314AB">
        <w:rPr>
          <w:sz w:val="36"/>
          <w:szCs w:val="36"/>
        </w:rPr>
        <w:t xml:space="preserve">yıllardan beri </w:t>
      </w:r>
      <w:r w:rsidR="00914A99" w:rsidRPr="005314AB">
        <w:rPr>
          <w:sz w:val="36"/>
          <w:szCs w:val="36"/>
        </w:rPr>
        <w:t>yüksek seyrini sürdürmektedir.</w:t>
      </w:r>
      <w:r w:rsidR="00BD7157">
        <w:rPr>
          <w:sz w:val="36"/>
          <w:szCs w:val="36"/>
        </w:rPr>
        <w:t xml:space="preserve"> </w:t>
      </w:r>
      <w:r w:rsidR="003242FB" w:rsidRPr="005314AB">
        <w:rPr>
          <w:sz w:val="36"/>
          <w:szCs w:val="36"/>
        </w:rPr>
        <w:t xml:space="preserve">Türkiye’nin 2002 ile </w:t>
      </w:r>
      <w:r w:rsidR="00E15BC5" w:rsidRPr="005314AB">
        <w:rPr>
          <w:sz w:val="36"/>
          <w:szCs w:val="36"/>
        </w:rPr>
        <w:t xml:space="preserve">2017 </w:t>
      </w:r>
      <w:r w:rsidR="003242FB" w:rsidRPr="005314AB">
        <w:rPr>
          <w:sz w:val="36"/>
          <w:szCs w:val="36"/>
        </w:rPr>
        <w:t>yıllarındaki dış ticaret durumu</w:t>
      </w:r>
      <w:r w:rsidR="00C237F3" w:rsidRPr="005314AB">
        <w:rPr>
          <w:sz w:val="36"/>
          <w:szCs w:val="36"/>
        </w:rPr>
        <w:t xml:space="preserve">yla cari açık durumu </w:t>
      </w:r>
      <w:r w:rsidR="00096FA2" w:rsidRPr="005314AB">
        <w:rPr>
          <w:sz w:val="36"/>
          <w:szCs w:val="36"/>
        </w:rPr>
        <w:t>ve</w:t>
      </w:r>
      <w:r w:rsidR="00C237F3" w:rsidRPr="005314AB">
        <w:rPr>
          <w:sz w:val="36"/>
          <w:szCs w:val="36"/>
        </w:rPr>
        <w:t xml:space="preserve"> </w:t>
      </w:r>
      <w:r w:rsidR="00F50B1B" w:rsidRPr="005314AB">
        <w:rPr>
          <w:sz w:val="36"/>
          <w:szCs w:val="36"/>
        </w:rPr>
        <w:t>201</w:t>
      </w:r>
      <w:r w:rsidR="00ED1977" w:rsidRPr="005314AB">
        <w:rPr>
          <w:sz w:val="36"/>
          <w:szCs w:val="36"/>
        </w:rPr>
        <w:t>8</w:t>
      </w:r>
      <w:r w:rsidR="00F50B1B" w:rsidRPr="005314AB">
        <w:rPr>
          <w:sz w:val="36"/>
          <w:szCs w:val="36"/>
        </w:rPr>
        <w:t xml:space="preserve"> yılının ilk </w:t>
      </w:r>
      <w:r w:rsidR="00691ACE" w:rsidRPr="005314AB">
        <w:rPr>
          <w:sz w:val="36"/>
          <w:szCs w:val="36"/>
        </w:rPr>
        <w:t xml:space="preserve">üç </w:t>
      </w:r>
      <w:r w:rsidR="00F50B1B" w:rsidRPr="005314AB">
        <w:rPr>
          <w:sz w:val="36"/>
          <w:szCs w:val="36"/>
        </w:rPr>
        <w:t xml:space="preserve">ayındaki </w:t>
      </w:r>
      <w:r w:rsidR="00691ACE" w:rsidRPr="005314AB">
        <w:rPr>
          <w:sz w:val="36"/>
          <w:szCs w:val="36"/>
        </w:rPr>
        <w:t xml:space="preserve">( Ocak-Mart) </w:t>
      </w:r>
      <w:r w:rsidR="00830777" w:rsidRPr="005314AB">
        <w:rPr>
          <w:sz w:val="36"/>
          <w:szCs w:val="36"/>
        </w:rPr>
        <w:t xml:space="preserve">dış ticaret </w:t>
      </w:r>
      <w:r w:rsidR="003242FB" w:rsidRPr="005314AB">
        <w:rPr>
          <w:sz w:val="36"/>
          <w:szCs w:val="36"/>
        </w:rPr>
        <w:t xml:space="preserve">rakamları </w:t>
      </w:r>
      <w:r w:rsidR="00513C97" w:rsidRPr="005314AB">
        <w:rPr>
          <w:sz w:val="36"/>
          <w:szCs w:val="36"/>
        </w:rPr>
        <w:t xml:space="preserve">ile cari açık durumu </w:t>
      </w:r>
      <w:r w:rsidR="003242FB" w:rsidRPr="005314AB">
        <w:rPr>
          <w:sz w:val="36"/>
          <w:szCs w:val="36"/>
        </w:rPr>
        <w:t>şöyledir</w:t>
      </w:r>
      <w:r w:rsidR="009A439A" w:rsidRPr="005314AB">
        <w:rPr>
          <w:sz w:val="36"/>
          <w:szCs w:val="36"/>
        </w:rPr>
        <w:t>: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2068"/>
        <w:gridCol w:w="1939"/>
        <w:gridCol w:w="1766"/>
        <w:gridCol w:w="1900"/>
      </w:tblGrid>
      <w:tr w:rsidR="003242FB" w:rsidRPr="00897635" w:rsidTr="008E74B8">
        <w:trPr>
          <w:trHeight w:val="1238"/>
        </w:trPr>
        <w:tc>
          <w:tcPr>
            <w:tcW w:w="2072" w:type="dxa"/>
          </w:tcPr>
          <w:p w:rsidR="003242FB" w:rsidRPr="00B9192F" w:rsidRDefault="003242FB" w:rsidP="00DD2230">
            <w:pPr>
              <w:spacing w:before="480"/>
              <w:jc w:val="center"/>
              <w:rPr>
                <w:rFonts w:ascii="Arial" w:hAnsi="Arial" w:cs="Arial"/>
                <w:b/>
              </w:rPr>
            </w:pPr>
            <w:r w:rsidRPr="00B9192F">
              <w:rPr>
                <w:rFonts w:ascii="Arial" w:hAnsi="Arial" w:cs="Arial"/>
                <w:b/>
              </w:rPr>
              <w:t>Yıl</w:t>
            </w:r>
          </w:p>
        </w:tc>
        <w:tc>
          <w:tcPr>
            <w:tcW w:w="2068" w:type="dxa"/>
          </w:tcPr>
          <w:p w:rsidR="003242FB" w:rsidRPr="00B9192F" w:rsidRDefault="00DD2230" w:rsidP="00DD2230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İhracat</w:t>
            </w:r>
            <w:r>
              <w:rPr>
                <w:rFonts w:ascii="Arial" w:hAnsi="Arial" w:cs="Arial"/>
                <w:b/>
              </w:rPr>
              <w:br/>
            </w:r>
            <w:r w:rsidR="003242FB" w:rsidRPr="00B9192F">
              <w:rPr>
                <w:rFonts w:ascii="Arial" w:hAnsi="Arial" w:cs="Arial"/>
                <w:b/>
              </w:rPr>
              <w:t xml:space="preserve"> (Milyar Dolar)</w:t>
            </w:r>
          </w:p>
        </w:tc>
        <w:tc>
          <w:tcPr>
            <w:tcW w:w="1939" w:type="dxa"/>
          </w:tcPr>
          <w:p w:rsidR="003242FB" w:rsidRPr="00B9192F" w:rsidRDefault="003242FB" w:rsidP="00DD2230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 w:rsidRPr="00B9192F">
              <w:rPr>
                <w:rFonts w:ascii="Arial" w:hAnsi="Arial" w:cs="Arial"/>
                <w:b/>
              </w:rPr>
              <w:t>İthalat</w:t>
            </w:r>
            <w:r w:rsidR="00DD2230">
              <w:rPr>
                <w:rFonts w:ascii="Arial" w:hAnsi="Arial" w:cs="Arial"/>
                <w:b/>
              </w:rPr>
              <w:br/>
            </w:r>
            <w:r w:rsidRPr="00B9192F">
              <w:rPr>
                <w:rFonts w:ascii="Arial" w:hAnsi="Arial" w:cs="Arial"/>
                <w:b/>
              </w:rPr>
              <w:t xml:space="preserve"> (Milyar Dolar)</w:t>
            </w:r>
          </w:p>
        </w:tc>
        <w:tc>
          <w:tcPr>
            <w:tcW w:w="1766" w:type="dxa"/>
          </w:tcPr>
          <w:p w:rsidR="003242FB" w:rsidRPr="00B9192F" w:rsidRDefault="003242FB" w:rsidP="00DD223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9192F">
              <w:rPr>
                <w:rFonts w:ascii="Arial" w:hAnsi="Arial" w:cs="Arial"/>
                <w:b/>
              </w:rPr>
              <w:t>Dış Ticaret Açığı</w:t>
            </w:r>
            <w:r w:rsidR="00DD2230">
              <w:rPr>
                <w:rFonts w:ascii="Arial" w:hAnsi="Arial" w:cs="Arial"/>
                <w:b/>
              </w:rPr>
              <w:br/>
            </w:r>
            <w:r w:rsidRPr="00B9192F">
              <w:rPr>
                <w:rFonts w:ascii="Arial" w:hAnsi="Arial" w:cs="Arial"/>
                <w:b/>
              </w:rPr>
              <w:t>(Milyar Dolar)</w:t>
            </w:r>
          </w:p>
        </w:tc>
        <w:tc>
          <w:tcPr>
            <w:tcW w:w="1900" w:type="dxa"/>
          </w:tcPr>
          <w:p w:rsidR="003242FB" w:rsidRPr="00B9192F" w:rsidRDefault="003242FB" w:rsidP="00DD2230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 w:rsidRPr="00B9192F">
              <w:rPr>
                <w:rFonts w:ascii="Arial" w:hAnsi="Arial" w:cs="Arial"/>
                <w:b/>
              </w:rPr>
              <w:t>Cari Açık</w:t>
            </w:r>
            <w:r w:rsidR="00DD2230">
              <w:rPr>
                <w:rFonts w:ascii="Arial" w:hAnsi="Arial" w:cs="Arial"/>
                <w:b/>
              </w:rPr>
              <w:br/>
            </w:r>
            <w:r w:rsidRPr="00B9192F">
              <w:rPr>
                <w:rFonts w:ascii="Arial" w:hAnsi="Arial" w:cs="Arial"/>
                <w:b/>
              </w:rPr>
              <w:t>(Milyar Dolar)</w:t>
            </w:r>
          </w:p>
        </w:tc>
      </w:tr>
      <w:tr w:rsidR="003242FB" w:rsidRPr="005314AB" w:rsidTr="00495583">
        <w:trPr>
          <w:trHeight w:val="377"/>
        </w:trPr>
        <w:tc>
          <w:tcPr>
            <w:tcW w:w="2072" w:type="dxa"/>
            <w:vAlign w:val="bottom"/>
          </w:tcPr>
          <w:p w:rsidR="003242FB" w:rsidRPr="00B9192F" w:rsidRDefault="003242FB" w:rsidP="008E74B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9192F">
              <w:rPr>
                <w:rFonts w:ascii="Arial" w:hAnsi="Arial" w:cs="Arial"/>
                <w:b/>
              </w:rPr>
              <w:t>2002</w:t>
            </w:r>
          </w:p>
        </w:tc>
        <w:tc>
          <w:tcPr>
            <w:tcW w:w="2068" w:type="dxa"/>
            <w:vAlign w:val="center"/>
          </w:tcPr>
          <w:p w:rsidR="003242FB" w:rsidRPr="00B9192F" w:rsidRDefault="00112035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C21962" w:rsidRPr="00B9192F">
              <w:rPr>
                <w:rFonts w:ascii="Arial" w:hAnsi="Arial" w:cs="Arial"/>
              </w:rPr>
              <w:t xml:space="preserve">  </w:t>
            </w:r>
            <w:r w:rsidR="003242FB" w:rsidRPr="00B9192F">
              <w:rPr>
                <w:rFonts w:ascii="Arial" w:hAnsi="Arial" w:cs="Arial"/>
              </w:rPr>
              <w:t>36.1</w:t>
            </w:r>
          </w:p>
        </w:tc>
        <w:tc>
          <w:tcPr>
            <w:tcW w:w="1939" w:type="dxa"/>
            <w:vAlign w:val="center"/>
          </w:tcPr>
          <w:p w:rsidR="003242FB" w:rsidRPr="00B9192F" w:rsidRDefault="00C21962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  </w:t>
            </w:r>
            <w:r w:rsidR="003242FB" w:rsidRPr="00B9192F">
              <w:rPr>
                <w:rFonts w:ascii="Arial" w:hAnsi="Arial" w:cs="Arial"/>
              </w:rPr>
              <w:t>51.6</w:t>
            </w:r>
          </w:p>
        </w:tc>
        <w:tc>
          <w:tcPr>
            <w:tcW w:w="1766" w:type="dxa"/>
            <w:vAlign w:val="center"/>
          </w:tcPr>
          <w:p w:rsidR="003242FB" w:rsidRPr="00B9192F" w:rsidRDefault="00C9673A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3242FB" w:rsidRPr="00B9192F">
              <w:rPr>
                <w:rFonts w:ascii="Arial" w:hAnsi="Arial" w:cs="Arial"/>
              </w:rPr>
              <w:t>-15.5</w:t>
            </w:r>
          </w:p>
        </w:tc>
        <w:tc>
          <w:tcPr>
            <w:tcW w:w="1900" w:type="dxa"/>
            <w:vAlign w:val="center"/>
          </w:tcPr>
          <w:p w:rsidR="003242FB" w:rsidRPr="00B9192F" w:rsidRDefault="00BD7157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1F42A8" w:rsidRPr="00B9192F">
              <w:rPr>
                <w:rFonts w:ascii="Arial" w:hAnsi="Arial" w:cs="Arial"/>
              </w:rPr>
              <w:t xml:space="preserve"> </w:t>
            </w:r>
            <w:r w:rsidR="00377D8E" w:rsidRPr="00B9192F">
              <w:rPr>
                <w:rFonts w:ascii="Arial" w:hAnsi="Arial" w:cs="Arial"/>
              </w:rPr>
              <w:t xml:space="preserve"> </w:t>
            </w:r>
            <w:r w:rsidR="00495583" w:rsidRPr="00B9192F">
              <w:rPr>
                <w:rFonts w:ascii="Arial" w:hAnsi="Arial" w:cs="Arial"/>
              </w:rPr>
              <w:t xml:space="preserve"> </w:t>
            </w:r>
            <w:r w:rsidR="003242FB" w:rsidRPr="00B9192F">
              <w:rPr>
                <w:rFonts w:ascii="Arial" w:hAnsi="Arial" w:cs="Arial"/>
              </w:rPr>
              <w:t>-0.6</w:t>
            </w:r>
          </w:p>
        </w:tc>
      </w:tr>
      <w:tr w:rsidR="006901A5" w:rsidRPr="005314AB" w:rsidTr="00495583">
        <w:trPr>
          <w:trHeight w:val="425"/>
        </w:trPr>
        <w:tc>
          <w:tcPr>
            <w:tcW w:w="2072" w:type="dxa"/>
            <w:vAlign w:val="bottom"/>
          </w:tcPr>
          <w:p w:rsidR="00555786" w:rsidRPr="00B9192F" w:rsidRDefault="00825084" w:rsidP="008E74B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9192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2068" w:type="dxa"/>
            <w:vAlign w:val="center"/>
          </w:tcPr>
          <w:p w:rsidR="006901A5" w:rsidRPr="00B9192F" w:rsidRDefault="00593D55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>157.</w:t>
            </w:r>
            <w:r w:rsidR="005B23CE" w:rsidRPr="00B9192F">
              <w:rPr>
                <w:rFonts w:ascii="Arial" w:hAnsi="Arial" w:cs="Arial"/>
              </w:rPr>
              <w:t>0</w:t>
            </w:r>
          </w:p>
        </w:tc>
        <w:tc>
          <w:tcPr>
            <w:tcW w:w="1939" w:type="dxa"/>
            <w:vAlign w:val="center"/>
          </w:tcPr>
          <w:p w:rsidR="006901A5" w:rsidRPr="00B9192F" w:rsidRDefault="00112035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EF26F7" w:rsidRPr="00B9192F">
              <w:rPr>
                <w:rFonts w:ascii="Arial" w:hAnsi="Arial" w:cs="Arial"/>
              </w:rPr>
              <w:t>233.8</w:t>
            </w:r>
          </w:p>
        </w:tc>
        <w:tc>
          <w:tcPr>
            <w:tcW w:w="1766" w:type="dxa"/>
            <w:vAlign w:val="center"/>
          </w:tcPr>
          <w:p w:rsidR="00825084" w:rsidRPr="00B9192F" w:rsidRDefault="00C9673A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825084" w:rsidRPr="00B9192F">
              <w:rPr>
                <w:rFonts w:ascii="Arial" w:hAnsi="Arial" w:cs="Arial"/>
              </w:rPr>
              <w:t>-</w:t>
            </w:r>
            <w:r w:rsidR="00EF26F7" w:rsidRPr="00B9192F">
              <w:rPr>
                <w:rFonts w:ascii="Arial" w:hAnsi="Arial" w:cs="Arial"/>
              </w:rPr>
              <w:t>76.</w:t>
            </w:r>
            <w:r w:rsidR="005B23CE" w:rsidRPr="00B9192F">
              <w:rPr>
                <w:rFonts w:ascii="Arial" w:hAnsi="Arial" w:cs="Arial"/>
              </w:rPr>
              <w:t>8</w:t>
            </w:r>
          </w:p>
        </w:tc>
        <w:tc>
          <w:tcPr>
            <w:tcW w:w="1900" w:type="dxa"/>
            <w:vAlign w:val="center"/>
          </w:tcPr>
          <w:p w:rsidR="006901A5" w:rsidRPr="00B9192F" w:rsidRDefault="00BD7157" w:rsidP="008E74B8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C9673A" w:rsidRPr="00B9192F">
              <w:rPr>
                <w:rFonts w:ascii="Arial" w:hAnsi="Arial" w:cs="Arial"/>
              </w:rPr>
              <w:t xml:space="preserve"> </w:t>
            </w:r>
            <w:r w:rsidR="000862DC" w:rsidRPr="00B9192F">
              <w:rPr>
                <w:rFonts w:ascii="Arial" w:hAnsi="Arial" w:cs="Arial"/>
              </w:rPr>
              <w:t>-</w:t>
            </w:r>
            <w:r w:rsidR="00830777" w:rsidRPr="00B9192F">
              <w:rPr>
                <w:rFonts w:ascii="Arial" w:hAnsi="Arial" w:cs="Arial"/>
              </w:rPr>
              <w:t>47.1</w:t>
            </w:r>
          </w:p>
        </w:tc>
      </w:tr>
      <w:tr w:rsidR="00377D8E" w:rsidRPr="005314AB" w:rsidTr="00B9192F">
        <w:trPr>
          <w:trHeight w:val="843"/>
        </w:trPr>
        <w:tc>
          <w:tcPr>
            <w:tcW w:w="2072" w:type="dxa"/>
            <w:vAlign w:val="bottom"/>
          </w:tcPr>
          <w:p w:rsidR="00377D8E" w:rsidRPr="00B9192F" w:rsidRDefault="00B9192F" w:rsidP="008E74B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  <w:r>
              <w:rPr>
                <w:rFonts w:ascii="Arial" w:hAnsi="Arial" w:cs="Arial"/>
                <w:b/>
              </w:rPr>
              <w:br/>
            </w:r>
            <w:r w:rsidR="00377D8E" w:rsidRPr="00B9192F">
              <w:rPr>
                <w:rFonts w:ascii="Arial" w:hAnsi="Arial" w:cs="Arial"/>
                <w:b/>
              </w:rPr>
              <w:t>(Ocak</w:t>
            </w:r>
            <w:r w:rsidR="001F42A8" w:rsidRPr="00B9192F">
              <w:rPr>
                <w:rFonts w:ascii="Arial" w:hAnsi="Arial" w:cs="Arial"/>
                <w:b/>
              </w:rPr>
              <w:t>-</w:t>
            </w:r>
            <w:r w:rsidR="00270CD2" w:rsidRPr="00B9192F">
              <w:rPr>
                <w:rFonts w:ascii="Arial" w:hAnsi="Arial" w:cs="Arial"/>
                <w:b/>
              </w:rPr>
              <w:t>Mart</w:t>
            </w:r>
            <w:r w:rsidR="00377D8E" w:rsidRPr="00B9192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68" w:type="dxa"/>
            <w:vAlign w:val="center"/>
          </w:tcPr>
          <w:p w:rsidR="00377D8E" w:rsidRPr="00B9192F" w:rsidRDefault="005B23CE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 </w:t>
            </w:r>
            <w:r w:rsidR="00270CD2" w:rsidRPr="00B9192F">
              <w:rPr>
                <w:rFonts w:ascii="Arial" w:hAnsi="Arial" w:cs="Arial"/>
              </w:rPr>
              <w:t>41.2</w:t>
            </w:r>
          </w:p>
        </w:tc>
        <w:tc>
          <w:tcPr>
            <w:tcW w:w="1939" w:type="dxa"/>
            <w:vAlign w:val="center"/>
          </w:tcPr>
          <w:p w:rsidR="00377D8E" w:rsidRPr="00B9192F" w:rsidRDefault="00112035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5B23CE" w:rsidRPr="00B9192F">
              <w:rPr>
                <w:rFonts w:ascii="Arial" w:hAnsi="Arial" w:cs="Arial"/>
              </w:rPr>
              <w:t xml:space="preserve">  </w:t>
            </w:r>
            <w:r w:rsidR="00270CD2" w:rsidRPr="00B9192F">
              <w:rPr>
                <w:rFonts w:ascii="Arial" w:hAnsi="Arial" w:cs="Arial"/>
              </w:rPr>
              <w:t>61.9</w:t>
            </w:r>
          </w:p>
        </w:tc>
        <w:tc>
          <w:tcPr>
            <w:tcW w:w="1766" w:type="dxa"/>
            <w:vAlign w:val="center"/>
          </w:tcPr>
          <w:p w:rsidR="00377D8E" w:rsidRPr="00B9192F" w:rsidRDefault="005B23CE" w:rsidP="008E74B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</w:t>
            </w:r>
            <w:r w:rsidR="00C9673A" w:rsidRPr="00B9192F">
              <w:rPr>
                <w:rFonts w:ascii="Arial" w:hAnsi="Arial" w:cs="Arial"/>
              </w:rPr>
              <w:t>-</w:t>
            </w:r>
            <w:r w:rsidR="00270CD2" w:rsidRPr="00B9192F">
              <w:rPr>
                <w:rFonts w:ascii="Arial" w:hAnsi="Arial" w:cs="Arial"/>
              </w:rPr>
              <w:t>20.7</w:t>
            </w:r>
          </w:p>
        </w:tc>
        <w:tc>
          <w:tcPr>
            <w:tcW w:w="1900" w:type="dxa"/>
            <w:vAlign w:val="center"/>
          </w:tcPr>
          <w:p w:rsidR="00377D8E" w:rsidRPr="00B9192F" w:rsidRDefault="00112035" w:rsidP="008E74B8">
            <w:pPr>
              <w:tabs>
                <w:tab w:val="left" w:pos="0"/>
                <w:tab w:val="left" w:pos="15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9192F">
              <w:rPr>
                <w:rFonts w:ascii="Arial" w:hAnsi="Arial" w:cs="Arial"/>
              </w:rPr>
              <w:t xml:space="preserve">  </w:t>
            </w:r>
            <w:r w:rsidR="00270CD2" w:rsidRPr="00B9192F">
              <w:rPr>
                <w:rFonts w:ascii="Arial" w:hAnsi="Arial" w:cs="Arial"/>
              </w:rPr>
              <w:t>-1</w:t>
            </w:r>
            <w:r w:rsidRPr="00B9192F">
              <w:rPr>
                <w:rFonts w:ascii="Arial" w:hAnsi="Arial" w:cs="Arial"/>
              </w:rPr>
              <w:t>6</w:t>
            </w:r>
            <w:r w:rsidR="00270CD2" w:rsidRPr="00B9192F">
              <w:rPr>
                <w:rFonts w:ascii="Arial" w:hAnsi="Arial" w:cs="Arial"/>
              </w:rPr>
              <w:t>.</w:t>
            </w:r>
            <w:r w:rsidRPr="00B9192F">
              <w:rPr>
                <w:rFonts w:ascii="Arial" w:hAnsi="Arial" w:cs="Arial"/>
              </w:rPr>
              <w:t>4</w:t>
            </w:r>
            <w:r w:rsidR="00270CD2" w:rsidRPr="00B9192F">
              <w:rPr>
                <w:rFonts w:ascii="Arial" w:hAnsi="Arial" w:cs="Arial"/>
              </w:rPr>
              <w:t xml:space="preserve">         </w:t>
            </w:r>
          </w:p>
        </w:tc>
      </w:tr>
    </w:tbl>
    <w:p w:rsidR="003242FB" w:rsidRPr="005314AB" w:rsidRDefault="003242FB" w:rsidP="003242FB">
      <w:pPr>
        <w:pStyle w:val="ListeParagraf"/>
        <w:spacing w:line="360" w:lineRule="auto"/>
        <w:ind w:left="0" w:firstLine="708"/>
        <w:jc w:val="both"/>
        <w:rPr>
          <w:b/>
          <w:sz w:val="36"/>
          <w:szCs w:val="36"/>
        </w:rPr>
      </w:pPr>
    </w:p>
    <w:p w:rsidR="00661920" w:rsidRPr="005314AB" w:rsidRDefault="00661920" w:rsidP="00661920">
      <w:pPr>
        <w:pStyle w:val="ListeParagraf"/>
        <w:spacing w:line="360" w:lineRule="auto"/>
        <w:ind w:left="0" w:firstLine="708"/>
        <w:jc w:val="both"/>
        <w:rPr>
          <w:b/>
          <w:sz w:val="36"/>
          <w:szCs w:val="36"/>
        </w:rPr>
      </w:pPr>
      <w:r w:rsidRPr="005314AB">
        <w:rPr>
          <w:b/>
          <w:sz w:val="36"/>
          <w:szCs w:val="36"/>
        </w:rPr>
        <w:t xml:space="preserve">Gerek 2002’de </w:t>
      </w:r>
      <w:r w:rsidR="00BC53DF" w:rsidRPr="005314AB">
        <w:rPr>
          <w:b/>
          <w:sz w:val="36"/>
          <w:szCs w:val="36"/>
        </w:rPr>
        <w:t>ve gerekse 2017’de</w:t>
      </w:r>
      <w:r w:rsidRPr="005314AB">
        <w:rPr>
          <w:b/>
          <w:sz w:val="36"/>
          <w:szCs w:val="36"/>
        </w:rPr>
        <w:t xml:space="preserve"> ithalat ihracattan fazladır ve her </w:t>
      </w:r>
      <w:r w:rsidR="00112035" w:rsidRPr="005314AB">
        <w:rPr>
          <w:b/>
          <w:sz w:val="36"/>
          <w:szCs w:val="36"/>
        </w:rPr>
        <w:t>iki</w:t>
      </w:r>
      <w:r w:rsidRPr="005314AB">
        <w:rPr>
          <w:b/>
          <w:sz w:val="36"/>
          <w:szCs w:val="36"/>
        </w:rPr>
        <w:t xml:space="preserve"> yılda da dış ticaret açığı vardır.  </w:t>
      </w:r>
      <w:r w:rsidRPr="005314AB">
        <w:rPr>
          <w:sz w:val="36"/>
          <w:szCs w:val="36"/>
        </w:rPr>
        <w:t>Bu durum, bu tarih</w:t>
      </w:r>
      <w:r w:rsidR="00BC53DF" w:rsidRPr="005314AB">
        <w:rPr>
          <w:sz w:val="36"/>
          <w:szCs w:val="36"/>
        </w:rPr>
        <w:t>ler (2002-201</w:t>
      </w:r>
      <w:r w:rsidR="00112035" w:rsidRPr="005314AB">
        <w:rPr>
          <w:sz w:val="36"/>
          <w:szCs w:val="36"/>
        </w:rPr>
        <w:t>7</w:t>
      </w:r>
      <w:r w:rsidR="00BC53DF" w:rsidRPr="005314AB">
        <w:rPr>
          <w:sz w:val="36"/>
          <w:szCs w:val="36"/>
        </w:rPr>
        <w:t>)</w:t>
      </w:r>
      <w:r w:rsidRPr="005314AB">
        <w:rPr>
          <w:sz w:val="36"/>
          <w:szCs w:val="36"/>
        </w:rPr>
        <w:t xml:space="preserve"> arasındaki diğer </w:t>
      </w:r>
      <w:r w:rsidRPr="005314AB">
        <w:rPr>
          <w:sz w:val="36"/>
          <w:szCs w:val="36"/>
        </w:rPr>
        <w:lastRenderedPageBreak/>
        <w:t>yıllar için de söz konusudur. 2017 yılın</w:t>
      </w:r>
      <w:r w:rsidR="00BC53DF" w:rsidRPr="005314AB">
        <w:rPr>
          <w:sz w:val="36"/>
          <w:szCs w:val="36"/>
        </w:rPr>
        <w:t>da</w:t>
      </w:r>
      <w:r w:rsidRPr="005314AB">
        <w:rPr>
          <w:sz w:val="36"/>
          <w:szCs w:val="36"/>
        </w:rPr>
        <w:t xml:space="preserve"> </w:t>
      </w:r>
      <w:r w:rsidR="00BC53DF" w:rsidRPr="005314AB">
        <w:rPr>
          <w:sz w:val="36"/>
          <w:szCs w:val="36"/>
        </w:rPr>
        <w:t>76.</w:t>
      </w:r>
      <w:r w:rsidR="005B23CE" w:rsidRPr="005314AB">
        <w:rPr>
          <w:sz w:val="36"/>
          <w:szCs w:val="36"/>
        </w:rPr>
        <w:t>8</w:t>
      </w:r>
      <w:r w:rsidR="008E6F64" w:rsidRPr="005314AB">
        <w:rPr>
          <w:sz w:val="36"/>
          <w:szCs w:val="36"/>
        </w:rPr>
        <w:t xml:space="preserve"> </w:t>
      </w:r>
      <w:r w:rsidRPr="005314AB">
        <w:rPr>
          <w:sz w:val="36"/>
          <w:szCs w:val="36"/>
        </w:rPr>
        <w:t>milyar dolarlık dış ticaret açığı vardır</w:t>
      </w:r>
      <w:r w:rsidR="00112035" w:rsidRPr="005314AB">
        <w:rPr>
          <w:sz w:val="36"/>
          <w:szCs w:val="36"/>
        </w:rPr>
        <w:t>.</w:t>
      </w:r>
      <w:r w:rsidRPr="005314AB">
        <w:rPr>
          <w:sz w:val="36"/>
          <w:szCs w:val="36"/>
        </w:rPr>
        <w:t xml:space="preserve"> </w:t>
      </w:r>
      <w:r w:rsidR="00BC53DF" w:rsidRPr="005314AB">
        <w:rPr>
          <w:sz w:val="36"/>
          <w:szCs w:val="36"/>
        </w:rPr>
        <w:t>2017 yılında</w:t>
      </w:r>
      <w:r w:rsidRPr="005314AB">
        <w:rPr>
          <w:sz w:val="36"/>
          <w:szCs w:val="36"/>
        </w:rPr>
        <w:t xml:space="preserve"> ihracatta bir artma vardır ama, ithalatta</w:t>
      </w:r>
      <w:r w:rsidR="009471BA" w:rsidRPr="005314AB">
        <w:rPr>
          <w:sz w:val="36"/>
          <w:szCs w:val="36"/>
        </w:rPr>
        <w:t>ki artış daha fazladır.</w:t>
      </w:r>
      <w:r w:rsidRPr="005314AB">
        <w:rPr>
          <w:sz w:val="36"/>
          <w:szCs w:val="36"/>
        </w:rPr>
        <w:t xml:space="preserve"> </w:t>
      </w:r>
      <w:r w:rsidR="00A52C77" w:rsidRPr="005314AB">
        <w:rPr>
          <w:b/>
          <w:sz w:val="36"/>
          <w:szCs w:val="36"/>
        </w:rPr>
        <w:t>İ</w:t>
      </w:r>
      <w:r w:rsidR="00EF26F7" w:rsidRPr="005314AB">
        <w:rPr>
          <w:b/>
          <w:sz w:val="36"/>
          <w:szCs w:val="36"/>
        </w:rPr>
        <w:t>hracatın ithalatı karşılama oranı 2017 yılında % 67.2’</w:t>
      </w:r>
      <w:r w:rsidR="00BD7157">
        <w:rPr>
          <w:b/>
          <w:sz w:val="36"/>
          <w:szCs w:val="36"/>
        </w:rPr>
        <w:t xml:space="preserve">dir. </w:t>
      </w:r>
      <w:r w:rsidR="00AC0CEC" w:rsidRPr="005314AB">
        <w:rPr>
          <w:sz w:val="36"/>
          <w:szCs w:val="36"/>
        </w:rPr>
        <w:t xml:space="preserve">Ne yazık ki 2018 yılının ilk </w:t>
      </w:r>
      <w:r w:rsidR="00957058" w:rsidRPr="005314AB">
        <w:rPr>
          <w:sz w:val="36"/>
          <w:szCs w:val="36"/>
        </w:rPr>
        <w:t xml:space="preserve">üç </w:t>
      </w:r>
      <w:r w:rsidR="00AC0CEC" w:rsidRPr="005314AB">
        <w:rPr>
          <w:sz w:val="36"/>
          <w:szCs w:val="36"/>
        </w:rPr>
        <w:t>ayındaki durum da 2017</w:t>
      </w:r>
      <w:r w:rsidR="00E24908" w:rsidRPr="005314AB">
        <w:rPr>
          <w:sz w:val="36"/>
          <w:szCs w:val="36"/>
        </w:rPr>
        <w:t xml:space="preserve"> yılının aynı dönemine göre</w:t>
      </w:r>
      <w:r w:rsidR="00AC0CEC" w:rsidRPr="005314AB">
        <w:rPr>
          <w:sz w:val="36"/>
          <w:szCs w:val="36"/>
        </w:rPr>
        <w:t xml:space="preserve"> iyi değildir</w:t>
      </w:r>
      <w:r w:rsidR="00E24908" w:rsidRPr="005314AB">
        <w:rPr>
          <w:sz w:val="36"/>
          <w:szCs w:val="36"/>
        </w:rPr>
        <w:t xml:space="preserve">. </w:t>
      </w:r>
      <w:r w:rsidR="00AC0CEC" w:rsidRPr="005314AB">
        <w:rPr>
          <w:sz w:val="36"/>
          <w:szCs w:val="36"/>
        </w:rPr>
        <w:t xml:space="preserve">2017 yılının ilk </w:t>
      </w:r>
      <w:r w:rsidR="00957058" w:rsidRPr="005314AB">
        <w:rPr>
          <w:sz w:val="36"/>
          <w:szCs w:val="36"/>
        </w:rPr>
        <w:t>üç</w:t>
      </w:r>
      <w:r w:rsidR="00AC0CEC" w:rsidRPr="005314AB">
        <w:rPr>
          <w:sz w:val="36"/>
          <w:szCs w:val="36"/>
        </w:rPr>
        <w:t xml:space="preserve"> ayında ihracatın ithalatı karşılama oranı % 7</w:t>
      </w:r>
      <w:r w:rsidR="00957058" w:rsidRPr="005314AB">
        <w:rPr>
          <w:sz w:val="36"/>
          <w:szCs w:val="36"/>
        </w:rPr>
        <w:t>5</w:t>
      </w:r>
      <w:r w:rsidR="00AC0CEC" w:rsidRPr="005314AB">
        <w:rPr>
          <w:sz w:val="36"/>
          <w:szCs w:val="36"/>
        </w:rPr>
        <w:t>.</w:t>
      </w:r>
      <w:r w:rsidR="00957058" w:rsidRPr="005314AB">
        <w:rPr>
          <w:sz w:val="36"/>
          <w:szCs w:val="36"/>
        </w:rPr>
        <w:t>0</w:t>
      </w:r>
      <w:r w:rsidR="00AC0CEC" w:rsidRPr="005314AB">
        <w:rPr>
          <w:sz w:val="36"/>
          <w:szCs w:val="36"/>
        </w:rPr>
        <w:t xml:space="preserve"> iken 2018 yılının ilk </w:t>
      </w:r>
      <w:r w:rsidR="00957058" w:rsidRPr="005314AB">
        <w:rPr>
          <w:sz w:val="36"/>
          <w:szCs w:val="36"/>
        </w:rPr>
        <w:t>üç</w:t>
      </w:r>
      <w:r w:rsidR="00AC0CEC" w:rsidRPr="005314AB">
        <w:rPr>
          <w:sz w:val="36"/>
          <w:szCs w:val="36"/>
        </w:rPr>
        <w:t xml:space="preserve"> ayında aynı oran % 6</w:t>
      </w:r>
      <w:r w:rsidR="00957058" w:rsidRPr="005314AB">
        <w:rPr>
          <w:sz w:val="36"/>
          <w:szCs w:val="36"/>
        </w:rPr>
        <w:t>6</w:t>
      </w:r>
      <w:r w:rsidR="00AC0CEC" w:rsidRPr="005314AB">
        <w:rPr>
          <w:sz w:val="36"/>
          <w:szCs w:val="36"/>
        </w:rPr>
        <w:t>.</w:t>
      </w:r>
      <w:r w:rsidR="00957058" w:rsidRPr="005314AB">
        <w:rPr>
          <w:sz w:val="36"/>
          <w:szCs w:val="36"/>
        </w:rPr>
        <w:t>5</w:t>
      </w:r>
      <w:r w:rsidR="00AC0CEC" w:rsidRPr="005314AB">
        <w:rPr>
          <w:sz w:val="36"/>
          <w:szCs w:val="36"/>
        </w:rPr>
        <w:t xml:space="preserve">’e düşmüştür. </w:t>
      </w:r>
      <w:r w:rsidR="00CB3260" w:rsidRPr="00BD7157">
        <w:rPr>
          <w:b/>
          <w:sz w:val="36"/>
          <w:szCs w:val="36"/>
        </w:rPr>
        <w:t xml:space="preserve">Ülkemizin dış ticaret durumundaki bu kötü gidişi durduramayan iktidar </w:t>
      </w:r>
      <w:r w:rsidR="00C40E04" w:rsidRPr="00BD7157">
        <w:rPr>
          <w:b/>
          <w:sz w:val="36"/>
          <w:szCs w:val="36"/>
        </w:rPr>
        <w:t xml:space="preserve">yetkilileri </w:t>
      </w:r>
      <w:r w:rsidR="00CB3260" w:rsidRPr="00BD7157">
        <w:rPr>
          <w:b/>
          <w:sz w:val="36"/>
          <w:szCs w:val="36"/>
        </w:rPr>
        <w:t xml:space="preserve">ihracat rakamlarını </w:t>
      </w:r>
      <w:r w:rsidR="00E24908" w:rsidRPr="00BD7157">
        <w:rPr>
          <w:b/>
          <w:sz w:val="36"/>
          <w:szCs w:val="36"/>
        </w:rPr>
        <w:t xml:space="preserve">halkımıza </w:t>
      </w:r>
      <w:r w:rsidR="00CB3260" w:rsidRPr="00BD7157">
        <w:rPr>
          <w:b/>
          <w:sz w:val="36"/>
          <w:szCs w:val="36"/>
        </w:rPr>
        <w:t xml:space="preserve">söylemekte, ithalat rakamları ile dış ticaret açığını </w:t>
      </w:r>
      <w:r w:rsidR="00E24908" w:rsidRPr="00BD7157">
        <w:rPr>
          <w:b/>
          <w:sz w:val="36"/>
          <w:szCs w:val="36"/>
        </w:rPr>
        <w:t>ise</w:t>
      </w:r>
      <w:r w:rsidR="00CB3260" w:rsidRPr="00BD7157">
        <w:rPr>
          <w:b/>
          <w:sz w:val="36"/>
          <w:szCs w:val="36"/>
        </w:rPr>
        <w:t xml:space="preserve"> söylememektedirler.</w:t>
      </w:r>
      <w:r w:rsidR="00E24908" w:rsidRPr="005314AB">
        <w:rPr>
          <w:sz w:val="36"/>
          <w:szCs w:val="36"/>
        </w:rPr>
        <w:t xml:space="preserve"> Yetkililerden</w:t>
      </w:r>
      <w:r w:rsidR="00CB3260" w:rsidRPr="005314AB">
        <w:rPr>
          <w:sz w:val="36"/>
          <w:szCs w:val="36"/>
        </w:rPr>
        <w:t xml:space="preserve"> </w:t>
      </w:r>
      <w:r w:rsidR="00E24908" w:rsidRPr="005314AB">
        <w:rPr>
          <w:sz w:val="36"/>
          <w:szCs w:val="36"/>
        </w:rPr>
        <w:t>i</w:t>
      </w:r>
      <w:r w:rsidR="00CB3260" w:rsidRPr="005314AB">
        <w:rPr>
          <w:sz w:val="36"/>
          <w:szCs w:val="36"/>
        </w:rPr>
        <w:t>hracatta</w:t>
      </w:r>
      <w:r w:rsidR="00E24908" w:rsidRPr="005314AB">
        <w:rPr>
          <w:sz w:val="36"/>
          <w:szCs w:val="36"/>
        </w:rPr>
        <w:t>ki</w:t>
      </w:r>
      <w:r w:rsidR="00CB3260" w:rsidRPr="005314AB">
        <w:rPr>
          <w:sz w:val="36"/>
          <w:szCs w:val="36"/>
        </w:rPr>
        <w:t xml:space="preserve"> artış</w:t>
      </w:r>
      <w:r w:rsidR="00E24908" w:rsidRPr="005314AB">
        <w:rPr>
          <w:sz w:val="36"/>
          <w:szCs w:val="36"/>
        </w:rPr>
        <w:t>ı</w:t>
      </w:r>
      <w:r w:rsidR="00CB3260" w:rsidRPr="005314AB">
        <w:rPr>
          <w:sz w:val="36"/>
          <w:szCs w:val="36"/>
        </w:rPr>
        <w:t xml:space="preserve"> </w:t>
      </w:r>
      <w:r w:rsidR="00E24908" w:rsidRPr="005314AB">
        <w:rPr>
          <w:sz w:val="36"/>
          <w:szCs w:val="36"/>
        </w:rPr>
        <w:t>duyan</w:t>
      </w:r>
      <w:r w:rsidR="00D73D31" w:rsidRPr="005314AB">
        <w:rPr>
          <w:sz w:val="36"/>
          <w:szCs w:val="36"/>
        </w:rPr>
        <w:t>,</w:t>
      </w:r>
      <w:r w:rsidR="00E24908" w:rsidRPr="005314AB">
        <w:rPr>
          <w:sz w:val="36"/>
          <w:szCs w:val="36"/>
        </w:rPr>
        <w:t xml:space="preserve"> ama ithalattaki artışı ve dış ticaret açığındaki durumu bilmeyen</w:t>
      </w:r>
      <w:r w:rsidR="00CB3260" w:rsidRPr="005314AB">
        <w:rPr>
          <w:sz w:val="36"/>
          <w:szCs w:val="36"/>
        </w:rPr>
        <w:t xml:space="preserve"> vatandaşımız sevinmektedir.</w:t>
      </w:r>
      <w:r w:rsidR="00E31913" w:rsidRPr="005314AB">
        <w:rPr>
          <w:sz w:val="36"/>
          <w:szCs w:val="36"/>
        </w:rPr>
        <w:t xml:space="preserve"> </w:t>
      </w:r>
      <w:r w:rsidR="00E31913" w:rsidRPr="005314AB">
        <w:rPr>
          <w:b/>
          <w:sz w:val="36"/>
          <w:szCs w:val="36"/>
        </w:rPr>
        <w:t>Ancak ülkemiz</w:t>
      </w:r>
      <w:r w:rsidR="00AA027E" w:rsidRPr="005314AB">
        <w:rPr>
          <w:b/>
          <w:sz w:val="36"/>
          <w:szCs w:val="36"/>
        </w:rPr>
        <w:t>in</w:t>
      </w:r>
      <w:r w:rsidR="00E31913" w:rsidRPr="005314AB">
        <w:rPr>
          <w:b/>
          <w:sz w:val="36"/>
          <w:szCs w:val="36"/>
        </w:rPr>
        <w:t xml:space="preserve"> ekonomisi maalesef iyi değildir.</w:t>
      </w:r>
    </w:p>
    <w:p w:rsidR="00EF2D1A" w:rsidRPr="005314AB" w:rsidRDefault="003242FB" w:rsidP="003242FB">
      <w:pPr>
        <w:pStyle w:val="ListeParagraf"/>
        <w:spacing w:line="360" w:lineRule="auto"/>
        <w:ind w:left="0" w:firstLine="708"/>
        <w:jc w:val="both"/>
        <w:rPr>
          <w:b/>
          <w:sz w:val="36"/>
          <w:szCs w:val="36"/>
        </w:rPr>
      </w:pPr>
      <w:r w:rsidRPr="005314AB">
        <w:rPr>
          <w:b/>
          <w:sz w:val="36"/>
          <w:szCs w:val="36"/>
        </w:rPr>
        <w:t>2002’de 0.6 milyar dolar olan cari açık 201</w:t>
      </w:r>
      <w:r w:rsidR="00A52C77" w:rsidRPr="005314AB">
        <w:rPr>
          <w:b/>
          <w:sz w:val="36"/>
          <w:szCs w:val="36"/>
        </w:rPr>
        <w:t>7</w:t>
      </w:r>
      <w:r w:rsidRPr="005314AB">
        <w:rPr>
          <w:b/>
          <w:sz w:val="36"/>
          <w:szCs w:val="36"/>
        </w:rPr>
        <w:t>’d</w:t>
      </w:r>
      <w:r w:rsidR="00A52C77" w:rsidRPr="005314AB">
        <w:rPr>
          <w:b/>
          <w:sz w:val="36"/>
          <w:szCs w:val="36"/>
        </w:rPr>
        <w:t>e</w:t>
      </w:r>
      <w:r w:rsidRPr="005314AB">
        <w:rPr>
          <w:b/>
          <w:sz w:val="36"/>
          <w:szCs w:val="36"/>
        </w:rPr>
        <w:t xml:space="preserve"> </w:t>
      </w:r>
      <w:r w:rsidR="00A52C77" w:rsidRPr="005314AB">
        <w:rPr>
          <w:b/>
          <w:sz w:val="36"/>
          <w:szCs w:val="36"/>
        </w:rPr>
        <w:t>47</w:t>
      </w:r>
      <w:r w:rsidRPr="005314AB">
        <w:rPr>
          <w:b/>
          <w:sz w:val="36"/>
          <w:szCs w:val="36"/>
        </w:rPr>
        <w:t>.</w:t>
      </w:r>
      <w:r w:rsidR="00744639" w:rsidRPr="005314AB">
        <w:rPr>
          <w:b/>
          <w:sz w:val="36"/>
          <w:szCs w:val="36"/>
        </w:rPr>
        <w:t>1</w:t>
      </w:r>
      <w:r w:rsidRPr="005314AB">
        <w:rPr>
          <w:b/>
          <w:sz w:val="36"/>
          <w:szCs w:val="36"/>
        </w:rPr>
        <w:t xml:space="preserve"> milyar dolar gibi oldukça yüksek bir düzeyde gerçekleşmiştir. </w:t>
      </w:r>
      <w:r w:rsidRPr="005314AB">
        <w:rPr>
          <w:sz w:val="36"/>
          <w:szCs w:val="36"/>
        </w:rPr>
        <w:t xml:space="preserve">Bu iki tarih arasındaki diğer yıllarda da cari açık söz konusudur. </w:t>
      </w:r>
      <w:r w:rsidR="004F1788" w:rsidRPr="005314AB">
        <w:rPr>
          <w:b/>
          <w:sz w:val="36"/>
          <w:szCs w:val="36"/>
        </w:rPr>
        <w:t>Cari açığın fazla olması Türk ekonomisinin iyi yönetilmediğinin işaretidir</w:t>
      </w:r>
      <w:r w:rsidR="008E651F" w:rsidRPr="005314AB">
        <w:rPr>
          <w:b/>
          <w:sz w:val="36"/>
          <w:szCs w:val="36"/>
        </w:rPr>
        <w:t>.</w:t>
      </w:r>
      <w:r w:rsidR="004F1788" w:rsidRPr="005314AB">
        <w:rPr>
          <w:sz w:val="36"/>
          <w:szCs w:val="36"/>
        </w:rPr>
        <w:t xml:space="preserve"> </w:t>
      </w:r>
      <w:r w:rsidR="007C6C26" w:rsidRPr="005314AB">
        <w:rPr>
          <w:b/>
          <w:sz w:val="36"/>
          <w:szCs w:val="36"/>
        </w:rPr>
        <w:t xml:space="preserve">Temennimiz cari açığın </w:t>
      </w:r>
      <w:r w:rsidR="00325F35" w:rsidRPr="005314AB">
        <w:rPr>
          <w:b/>
          <w:sz w:val="36"/>
          <w:szCs w:val="36"/>
        </w:rPr>
        <w:t>olmaması</w:t>
      </w:r>
      <w:r w:rsidR="0005257E" w:rsidRPr="005314AB">
        <w:rPr>
          <w:b/>
          <w:sz w:val="36"/>
          <w:szCs w:val="36"/>
        </w:rPr>
        <w:t>, eğer</w:t>
      </w:r>
      <w:r w:rsidR="00325F35" w:rsidRPr="005314AB">
        <w:rPr>
          <w:b/>
          <w:sz w:val="36"/>
          <w:szCs w:val="36"/>
        </w:rPr>
        <w:t xml:space="preserve"> bu yapılamıyorsa </w:t>
      </w:r>
      <w:r w:rsidR="007C6C26" w:rsidRPr="005314AB">
        <w:rPr>
          <w:b/>
          <w:sz w:val="36"/>
          <w:szCs w:val="36"/>
        </w:rPr>
        <w:t xml:space="preserve">azaltılmasıdır. </w:t>
      </w:r>
      <w:r w:rsidR="00691CD4" w:rsidRPr="005314AB">
        <w:rPr>
          <w:b/>
          <w:sz w:val="36"/>
          <w:szCs w:val="36"/>
        </w:rPr>
        <w:t xml:space="preserve">2018 yılının </w:t>
      </w:r>
      <w:r w:rsidR="00957058" w:rsidRPr="005314AB">
        <w:rPr>
          <w:b/>
          <w:sz w:val="36"/>
          <w:szCs w:val="36"/>
        </w:rPr>
        <w:t xml:space="preserve">ilk </w:t>
      </w:r>
      <w:r w:rsidR="00A52C77" w:rsidRPr="005314AB">
        <w:rPr>
          <w:b/>
          <w:sz w:val="36"/>
          <w:szCs w:val="36"/>
        </w:rPr>
        <w:t xml:space="preserve">üç </w:t>
      </w:r>
      <w:r w:rsidR="00957058" w:rsidRPr="005314AB">
        <w:rPr>
          <w:b/>
          <w:sz w:val="36"/>
          <w:szCs w:val="36"/>
        </w:rPr>
        <w:t xml:space="preserve">ayındaki </w:t>
      </w:r>
      <w:r w:rsidR="008E651F" w:rsidRPr="005314AB">
        <w:rPr>
          <w:b/>
          <w:sz w:val="36"/>
          <w:szCs w:val="36"/>
        </w:rPr>
        <w:t>(</w:t>
      </w:r>
      <w:r w:rsidR="00691CD4" w:rsidRPr="005314AB">
        <w:rPr>
          <w:b/>
          <w:sz w:val="36"/>
          <w:szCs w:val="36"/>
        </w:rPr>
        <w:t>Ocak</w:t>
      </w:r>
      <w:r w:rsidR="00957058" w:rsidRPr="005314AB">
        <w:rPr>
          <w:b/>
          <w:sz w:val="36"/>
          <w:szCs w:val="36"/>
        </w:rPr>
        <w:t>-</w:t>
      </w:r>
      <w:r w:rsidR="00A52C77" w:rsidRPr="005314AB">
        <w:rPr>
          <w:b/>
          <w:sz w:val="36"/>
          <w:szCs w:val="36"/>
        </w:rPr>
        <w:t>Mart</w:t>
      </w:r>
      <w:r w:rsidR="008E651F" w:rsidRPr="005314AB">
        <w:rPr>
          <w:b/>
          <w:sz w:val="36"/>
          <w:szCs w:val="36"/>
        </w:rPr>
        <w:t>)</w:t>
      </w:r>
      <w:r w:rsidR="00691CD4" w:rsidRPr="005314AB">
        <w:rPr>
          <w:b/>
          <w:sz w:val="36"/>
          <w:szCs w:val="36"/>
        </w:rPr>
        <w:t xml:space="preserve"> cari denge durumu maalesef </w:t>
      </w:r>
      <w:r w:rsidR="008E651F" w:rsidRPr="005314AB">
        <w:rPr>
          <w:b/>
          <w:sz w:val="36"/>
          <w:szCs w:val="36"/>
        </w:rPr>
        <w:t>2017</w:t>
      </w:r>
      <w:r w:rsidR="00691CD4" w:rsidRPr="005314AB">
        <w:rPr>
          <w:b/>
          <w:sz w:val="36"/>
          <w:szCs w:val="36"/>
        </w:rPr>
        <w:t xml:space="preserve"> yıl</w:t>
      </w:r>
      <w:r w:rsidR="008E651F" w:rsidRPr="005314AB">
        <w:rPr>
          <w:b/>
          <w:sz w:val="36"/>
          <w:szCs w:val="36"/>
        </w:rPr>
        <w:t>ın</w:t>
      </w:r>
      <w:r w:rsidR="00691CD4" w:rsidRPr="005314AB">
        <w:rPr>
          <w:b/>
          <w:sz w:val="36"/>
          <w:szCs w:val="36"/>
        </w:rPr>
        <w:t xml:space="preserve">dan </w:t>
      </w:r>
      <w:r w:rsidR="00691CD4" w:rsidRPr="005314AB">
        <w:rPr>
          <w:b/>
          <w:sz w:val="36"/>
          <w:szCs w:val="36"/>
        </w:rPr>
        <w:lastRenderedPageBreak/>
        <w:t xml:space="preserve">daha kötüdür ve </w:t>
      </w:r>
      <w:r w:rsidR="00A52C77" w:rsidRPr="005314AB">
        <w:rPr>
          <w:b/>
          <w:sz w:val="36"/>
          <w:szCs w:val="36"/>
        </w:rPr>
        <w:t>Mart</w:t>
      </w:r>
      <w:r w:rsidR="008E651F" w:rsidRPr="005314AB">
        <w:rPr>
          <w:b/>
          <w:sz w:val="36"/>
          <w:szCs w:val="36"/>
        </w:rPr>
        <w:t xml:space="preserve"> 2017’de </w:t>
      </w:r>
      <w:r w:rsidR="00A52C77" w:rsidRPr="005314AB">
        <w:rPr>
          <w:b/>
          <w:sz w:val="36"/>
          <w:szCs w:val="36"/>
        </w:rPr>
        <w:t>8.4</w:t>
      </w:r>
      <w:r w:rsidR="008E651F" w:rsidRPr="005314AB">
        <w:rPr>
          <w:b/>
          <w:sz w:val="36"/>
          <w:szCs w:val="36"/>
        </w:rPr>
        <w:t xml:space="preserve"> milyar dolar olan cari açık </w:t>
      </w:r>
      <w:r w:rsidR="00A52C77" w:rsidRPr="005314AB">
        <w:rPr>
          <w:b/>
          <w:sz w:val="36"/>
          <w:szCs w:val="36"/>
        </w:rPr>
        <w:t>Mart</w:t>
      </w:r>
      <w:r w:rsidR="00957058" w:rsidRPr="005314AB">
        <w:rPr>
          <w:b/>
          <w:sz w:val="36"/>
          <w:szCs w:val="36"/>
        </w:rPr>
        <w:t xml:space="preserve"> </w:t>
      </w:r>
      <w:r w:rsidR="00691CD4" w:rsidRPr="005314AB">
        <w:rPr>
          <w:b/>
          <w:sz w:val="36"/>
          <w:szCs w:val="36"/>
        </w:rPr>
        <w:t>2018</w:t>
      </w:r>
      <w:r w:rsidR="00957058" w:rsidRPr="005314AB">
        <w:rPr>
          <w:b/>
          <w:sz w:val="36"/>
          <w:szCs w:val="36"/>
        </w:rPr>
        <w:t xml:space="preserve"> sonund</w:t>
      </w:r>
      <w:r w:rsidR="008E651F" w:rsidRPr="005314AB">
        <w:rPr>
          <w:b/>
          <w:sz w:val="36"/>
          <w:szCs w:val="36"/>
        </w:rPr>
        <w:t>a</w:t>
      </w:r>
      <w:r w:rsidR="00957058" w:rsidRPr="005314AB">
        <w:rPr>
          <w:b/>
          <w:sz w:val="36"/>
          <w:szCs w:val="36"/>
        </w:rPr>
        <w:t xml:space="preserve"> 1</w:t>
      </w:r>
      <w:r w:rsidR="00A52C77" w:rsidRPr="005314AB">
        <w:rPr>
          <w:b/>
          <w:sz w:val="36"/>
          <w:szCs w:val="36"/>
        </w:rPr>
        <w:t>6</w:t>
      </w:r>
      <w:r w:rsidR="00957058" w:rsidRPr="005314AB">
        <w:rPr>
          <w:b/>
          <w:sz w:val="36"/>
          <w:szCs w:val="36"/>
        </w:rPr>
        <w:t>.</w:t>
      </w:r>
      <w:r w:rsidR="00A52C77" w:rsidRPr="005314AB">
        <w:rPr>
          <w:b/>
          <w:sz w:val="36"/>
          <w:szCs w:val="36"/>
        </w:rPr>
        <w:t>4</w:t>
      </w:r>
      <w:r w:rsidR="00691CD4" w:rsidRPr="005314AB">
        <w:rPr>
          <w:b/>
          <w:sz w:val="36"/>
          <w:szCs w:val="36"/>
        </w:rPr>
        <w:t xml:space="preserve"> milyar dolardır.</w:t>
      </w:r>
      <w:r w:rsidR="005E012C">
        <w:rPr>
          <w:b/>
          <w:sz w:val="36"/>
          <w:szCs w:val="36"/>
        </w:rPr>
        <w:t xml:space="preserve"> Mart 2017’den Mart 2018’e kadar</w:t>
      </w:r>
      <w:r w:rsidR="00F70EAF">
        <w:rPr>
          <w:b/>
          <w:sz w:val="36"/>
          <w:szCs w:val="36"/>
        </w:rPr>
        <w:t>,</w:t>
      </w:r>
      <w:r w:rsidR="005E012C">
        <w:rPr>
          <w:b/>
          <w:sz w:val="36"/>
          <w:szCs w:val="36"/>
        </w:rPr>
        <w:t xml:space="preserve"> yani 1 yıllık cari açık ise 55.4 milyar dolardır. Cari açığın sürekli artış kaydetmesi ülkemiz ekonomisinin içine düştüğü durumu göstermesi bakımından önemlidir.</w:t>
      </w:r>
    </w:p>
    <w:p w:rsidR="003242FB" w:rsidRPr="005314AB" w:rsidRDefault="003242F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  <w:r w:rsidRPr="005314AB">
        <w:rPr>
          <w:sz w:val="36"/>
          <w:szCs w:val="36"/>
        </w:rPr>
        <w:t>Ülke ekonomileri değerlendirilirken ihracatın fazla olması, ithalatın ise az olması arzu edilir. Dış ticaret açığı ve cari açığın olması arzu edilmez. Hele hele cari açığın çok yüksek olması hiç istenmez.</w:t>
      </w:r>
      <w:r w:rsidR="006F3FA4" w:rsidRPr="005314AB">
        <w:rPr>
          <w:sz w:val="36"/>
          <w:szCs w:val="36"/>
        </w:rPr>
        <w:t xml:space="preserve"> </w:t>
      </w:r>
      <w:r w:rsidR="006F3FA4" w:rsidRPr="005314AB">
        <w:rPr>
          <w:b/>
          <w:sz w:val="36"/>
          <w:szCs w:val="36"/>
        </w:rPr>
        <w:t xml:space="preserve">Almanya’nın ekonomisinin güçlü görünmesinin sebebi dış ticaret fazlasının ve cari </w:t>
      </w:r>
      <w:r w:rsidR="007430CC" w:rsidRPr="005314AB">
        <w:rPr>
          <w:b/>
          <w:sz w:val="36"/>
          <w:szCs w:val="36"/>
        </w:rPr>
        <w:t>dengede</w:t>
      </w:r>
      <w:r w:rsidR="006F3FA4" w:rsidRPr="005314AB">
        <w:rPr>
          <w:b/>
          <w:sz w:val="36"/>
          <w:szCs w:val="36"/>
        </w:rPr>
        <w:t xml:space="preserve"> fazlasının </w:t>
      </w:r>
      <w:r w:rsidR="00325F35" w:rsidRPr="005314AB">
        <w:rPr>
          <w:b/>
          <w:sz w:val="36"/>
          <w:szCs w:val="36"/>
        </w:rPr>
        <w:t>bulunması</w:t>
      </w:r>
      <w:r w:rsidR="006D6867" w:rsidRPr="005314AB">
        <w:rPr>
          <w:b/>
          <w:sz w:val="36"/>
          <w:szCs w:val="36"/>
        </w:rPr>
        <w:t>ndan</w:t>
      </w:r>
      <w:r w:rsidR="00325F35" w:rsidRPr="005314AB">
        <w:rPr>
          <w:b/>
          <w:sz w:val="36"/>
          <w:szCs w:val="36"/>
        </w:rPr>
        <w:t>dır.</w:t>
      </w:r>
      <w:r w:rsidRPr="005314AB">
        <w:rPr>
          <w:b/>
          <w:sz w:val="36"/>
          <w:szCs w:val="36"/>
        </w:rPr>
        <w:t xml:space="preserve"> </w:t>
      </w:r>
      <w:r w:rsidR="002A67DF" w:rsidRPr="005314AB">
        <w:rPr>
          <w:sz w:val="36"/>
          <w:szCs w:val="36"/>
        </w:rPr>
        <w:t xml:space="preserve">15 yıldan beri </w:t>
      </w:r>
      <w:r w:rsidRPr="005314AB">
        <w:rPr>
          <w:sz w:val="36"/>
          <w:szCs w:val="36"/>
        </w:rPr>
        <w:t>Türkiye’yi yöneten iktidarlar maalesef cari açığı ortadan kaldırıp, cari dengenin sağlanmasında bir türlü başarılı olamıyorlar.</w:t>
      </w:r>
    </w:p>
    <w:p w:rsidR="00BA10BE" w:rsidRDefault="00BA10BE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5314AB" w:rsidRDefault="005314A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5314AB" w:rsidRDefault="005314A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5314AB" w:rsidRDefault="005314A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5314AB" w:rsidRDefault="005314A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5314AB" w:rsidRDefault="005314A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617872" w:rsidRDefault="00617872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617872" w:rsidRDefault="00617872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F70EAF" w:rsidRPr="00A345D4" w:rsidRDefault="00F70EAF" w:rsidP="00DD2230">
      <w:pPr>
        <w:framePr w:w="9729" w:h="11183" w:hRule="exact" w:wrap="notBeside" w:vAnchor="text" w:hAnchor="page" w:x="1179" w:y="-3"/>
        <w:spacing w:line="245" w:lineRule="exact"/>
        <w:ind w:firstLine="708"/>
        <w:rPr>
          <w:rStyle w:val="Tablecaption"/>
          <w:sz w:val="24"/>
          <w:szCs w:val="24"/>
        </w:rPr>
      </w:pPr>
      <w:r w:rsidRPr="00A345D4">
        <w:rPr>
          <w:rStyle w:val="Tablecaption"/>
          <w:sz w:val="24"/>
          <w:szCs w:val="24"/>
        </w:rPr>
        <w:t xml:space="preserve">Tablo </w:t>
      </w:r>
      <w:r w:rsidR="00876A79" w:rsidRPr="00A345D4">
        <w:rPr>
          <w:rStyle w:val="Tablecaption"/>
          <w:sz w:val="24"/>
          <w:szCs w:val="24"/>
        </w:rPr>
        <w:t>4</w:t>
      </w:r>
      <w:r w:rsidRPr="00A345D4">
        <w:rPr>
          <w:rStyle w:val="Tablecaption"/>
          <w:sz w:val="24"/>
          <w:szCs w:val="24"/>
        </w:rPr>
        <w:t>: Yıllar itibariyle İthalat-İhracat, Dış Ticaret Açığı ve Cari Denge</w:t>
      </w:r>
    </w:p>
    <w:p w:rsidR="00A345D4" w:rsidRDefault="00A345D4" w:rsidP="00DD2230">
      <w:pPr>
        <w:framePr w:w="9729" w:h="11183" w:hRule="exact" w:wrap="notBeside" w:vAnchor="text" w:hAnchor="page" w:x="1179" w:y="-3"/>
        <w:spacing w:line="245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1609"/>
        <w:gridCol w:w="1559"/>
        <w:gridCol w:w="2127"/>
        <w:gridCol w:w="1842"/>
      </w:tblGrid>
      <w:tr w:rsidR="00A345D4" w:rsidRPr="00CD7D0E" w:rsidTr="00DD2230">
        <w:trPr>
          <w:trHeight w:val="4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A345D4" w:rsidRDefault="00F70EAF" w:rsidP="00DD2230">
            <w:pPr>
              <w:framePr w:w="9729" w:h="11183" w:hRule="exact" w:wrap="notBeside" w:vAnchor="text" w:hAnchor="page" w:x="1179" w:y="-3"/>
              <w:spacing w:before="240" w:after="120" w:line="40" w:lineRule="atLeast"/>
              <w:jc w:val="center"/>
              <w:rPr>
                <w:b/>
              </w:rPr>
            </w:pPr>
            <w:r w:rsidRPr="00A345D4">
              <w:rPr>
                <w:rStyle w:val="Bodytext23"/>
                <w:b/>
                <w:sz w:val="24"/>
                <w:szCs w:val="24"/>
              </w:rPr>
              <w:t>Yıl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A345D4" w:rsidRDefault="00A345D4" w:rsidP="00DD2230">
            <w:pPr>
              <w:framePr w:w="9729" w:h="11183" w:hRule="exact" w:wrap="notBeside" w:vAnchor="text" w:hAnchor="page" w:x="1179" w:y="-3"/>
              <w:spacing w:before="120" w:after="120" w:line="40" w:lineRule="atLeast"/>
              <w:jc w:val="center"/>
              <w:rPr>
                <w:b/>
              </w:rPr>
            </w:pPr>
            <w:r w:rsidRPr="00A345D4">
              <w:rPr>
                <w:rStyle w:val="Bodytext23"/>
                <w:b/>
                <w:sz w:val="24"/>
                <w:szCs w:val="24"/>
              </w:rPr>
              <w:t>İhracat</w:t>
            </w:r>
            <w:r w:rsidRPr="00A345D4">
              <w:rPr>
                <w:rStyle w:val="Bodytext23"/>
                <w:b/>
                <w:sz w:val="24"/>
                <w:szCs w:val="24"/>
              </w:rPr>
              <w:br/>
            </w:r>
            <w:r w:rsidR="00F70EAF" w:rsidRPr="00A345D4">
              <w:rPr>
                <w:rStyle w:val="Bodytext23"/>
                <w:b/>
                <w:sz w:val="24"/>
                <w:szCs w:val="24"/>
              </w:rPr>
              <w:t>(Milyar Dolar)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A345D4" w:rsidRDefault="00A345D4" w:rsidP="00DD2230">
            <w:pPr>
              <w:framePr w:w="9729" w:h="11183" w:hRule="exact" w:wrap="notBeside" w:vAnchor="text" w:hAnchor="page" w:x="1179" w:y="-3"/>
              <w:spacing w:before="120" w:after="120" w:line="40" w:lineRule="atLeast"/>
              <w:jc w:val="center"/>
              <w:rPr>
                <w:b/>
              </w:rPr>
            </w:pPr>
            <w:r w:rsidRPr="00A345D4">
              <w:rPr>
                <w:rStyle w:val="Bodytext23"/>
                <w:b/>
                <w:sz w:val="24"/>
                <w:szCs w:val="24"/>
              </w:rPr>
              <w:t>İthalat</w:t>
            </w:r>
            <w:r w:rsidRPr="00A345D4">
              <w:rPr>
                <w:rStyle w:val="Bodytext23"/>
                <w:b/>
                <w:sz w:val="24"/>
                <w:szCs w:val="24"/>
              </w:rPr>
              <w:br/>
            </w:r>
            <w:r w:rsidR="00F70EAF" w:rsidRPr="00A345D4">
              <w:rPr>
                <w:rStyle w:val="Bodytext23"/>
                <w:b/>
                <w:sz w:val="24"/>
                <w:szCs w:val="24"/>
              </w:rPr>
              <w:t>(Milyar Dolar)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A345D4" w:rsidRDefault="00A345D4" w:rsidP="00DD2230">
            <w:pPr>
              <w:framePr w:w="9729" w:h="11183" w:hRule="exact" w:wrap="notBeside" w:vAnchor="text" w:hAnchor="page" w:x="1179" w:y="-3"/>
              <w:spacing w:before="120" w:after="120" w:line="40" w:lineRule="atLeast"/>
              <w:ind w:right="-10"/>
              <w:jc w:val="center"/>
              <w:rPr>
                <w:b/>
              </w:rPr>
            </w:pPr>
            <w:r w:rsidRPr="00A345D4">
              <w:rPr>
                <w:rStyle w:val="Bodytext23"/>
                <w:b/>
                <w:sz w:val="24"/>
                <w:szCs w:val="24"/>
              </w:rPr>
              <w:t>Dış Ticaret Açığı</w:t>
            </w:r>
            <w:r w:rsidRPr="00A345D4">
              <w:rPr>
                <w:rStyle w:val="Bodytext23"/>
                <w:b/>
                <w:sz w:val="24"/>
                <w:szCs w:val="24"/>
              </w:rPr>
              <w:br/>
            </w:r>
            <w:r w:rsidR="00F70EAF" w:rsidRPr="00A345D4">
              <w:rPr>
                <w:rStyle w:val="Bodytext23"/>
                <w:b/>
                <w:sz w:val="24"/>
                <w:szCs w:val="24"/>
              </w:rPr>
              <w:t>(Milyar Dolar)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A345D4" w:rsidRDefault="00A345D4" w:rsidP="00DD2230">
            <w:pPr>
              <w:framePr w:w="9729" w:h="11183" w:hRule="exact" w:wrap="notBeside" w:vAnchor="text" w:hAnchor="page" w:x="1179" w:y="-3"/>
              <w:spacing w:before="120" w:after="120" w:line="40" w:lineRule="atLeast"/>
              <w:jc w:val="center"/>
              <w:rPr>
                <w:b/>
              </w:rPr>
            </w:pPr>
            <w:r w:rsidRPr="00A345D4">
              <w:rPr>
                <w:rStyle w:val="Bodytext23"/>
                <w:b/>
                <w:sz w:val="24"/>
                <w:szCs w:val="24"/>
              </w:rPr>
              <w:t>Cari Denge</w:t>
            </w:r>
            <w:r w:rsidRPr="00A345D4">
              <w:rPr>
                <w:rStyle w:val="Bodytext23"/>
                <w:b/>
                <w:sz w:val="24"/>
                <w:szCs w:val="24"/>
              </w:rPr>
              <w:br/>
            </w:r>
            <w:r w:rsidR="00F70EAF" w:rsidRPr="00A345D4">
              <w:rPr>
                <w:rStyle w:val="Bodytext23"/>
                <w:b/>
                <w:sz w:val="24"/>
                <w:szCs w:val="24"/>
              </w:rPr>
              <w:t>(Milyar Dolar)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27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54.5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-26.7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-9.9</w:t>
            </w:r>
          </w:p>
        </w:tc>
      </w:tr>
      <w:tr w:rsidR="00A345D4" w:rsidRPr="00CD7D0E" w:rsidTr="0080077D">
        <w:trPr>
          <w:trHeight w:val="2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31.3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41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 xml:space="preserve">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- 10.1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A0A3B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  <w:rPr>
                <w:b/>
              </w:rPr>
            </w:pPr>
            <w:r w:rsidRPr="001A0A3B">
              <w:rPr>
                <w:rStyle w:val="Bodytext32"/>
                <w:b/>
                <w:sz w:val="24"/>
                <w:szCs w:val="24"/>
              </w:rPr>
              <w:t>3.8</w:t>
            </w:r>
          </w:p>
        </w:tc>
      </w:tr>
      <w:tr w:rsidR="00A345D4" w:rsidRPr="00CD7D0E" w:rsidTr="0080077D">
        <w:trPr>
          <w:trHeight w:val="22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36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51.6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- 15.5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-0.6</w:t>
            </w:r>
          </w:p>
        </w:tc>
      </w:tr>
      <w:tr w:rsidR="00A345D4" w:rsidRPr="00CD7D0E" w:rsidTr="0080077D">
        <w:trPr>
          <w:trHeight w:val="226"/>
          <w:jc w:val="center"/>
        </w:trPr>
        <w:tc>
          <w:tcPr>
            <w:tcW w:w="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2003</w:t>
            </w:r>
          </w:p>
        </w:tc>
        <w:tc>
          <w:tcPr>
            <w:tcW w:w="16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47.3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69.3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-22.1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-7.6</w:t>
            </w:r>
          </w:p>
        </w:tc>
      </w:tr>
      <w:tr w:rsidR="00A345D4" w:rsidRPr="00CD7D0E" w:rsidTr="00DD2230">
        <w:trPr>
          <w:trHeight w:val="2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63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97.5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-34.4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- 14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2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73.5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116.8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-43.3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-21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4</w:t>
            </w:r>
          </w:p>
        </w:tc>
      </w:tr>
      <w:tr w:rsidR="00A345D4" w:rsidRPr="00CD7D0E" w:rsidTr="00DD2230">
        <w:trPr>
          <w:trHeight w:val="2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85.5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139.6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-54.0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-31.8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107.3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170.1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-62.8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-37.8</w:t>
            </w:r>
          </w:p>
        </w:tc>
      </w:tr>
      <w:tr w:rsidR="00A345D4" w:rsidRPr="00CD7D0E" w:rsidTr="00DD2230">
        <w:trPr>
          <w:trHeight w:val="1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132.0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202.0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-69.9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-40.2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102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140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-38.8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- 12.0</w:t>
            </w:r>
          </w:p>
        </w:tc>
      </w:tr>
      <w:tr w:rsidR="00A345D4" w:rsidRPr="00CD7D0E" w:rsidTr="00DD2230">
        <w:trPr>
          <w:trHeight w:val="2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113.9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185.5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-71.7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-45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3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134.9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240.8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- 105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-75.1</w:t>
            </w:r>
          </w:p>
        </w:tc>
      </w:tr>
      <w:tr w:rsidR="00A345D4" w:rsidRPr="00CD7D0E" w:rsidTr="00DD2230">
        <w:trPr>
          <w:trHeight w:val="2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152.5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236.5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-84.1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-48.5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A0A3B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151</w:t>
            </w:r>
            <w:r w:rsidR="001A0A3B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251.7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1F0272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-99</w:t>
            </w:r>
            <w:r w:rsidR="001F0272">
              <w:rPr>
                <w:rStyle w:val="Bodytext32"/>
                <w:sz w:val="24"/>
                <w:szCs w:val="24"/>
              </w:rPr>
              <w:t>.</w:t>
            </w:r>
            <w:r w:rsidRPr="00CD7D0E">
              <w:rPr>
                <w:rStyle w:val="Bodytext32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-65.0</w:t>
            </w:r>
          </w:p>
        </w:tc>
      </w:tr>
      <w:tr w:rsidR="00A345D4" w:rsidRPr="00CD7D0E" w:rsidTr="00DD2230">
        <w:trPr>
          <w:trHeight w:val="2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157.6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242.2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-84.6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-45.8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143.8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207.2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-63.4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-32.2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</w:pPr>
            <w:r w:rsidRPr="00CD7D0E">
              <w:rPr>
                <w:rStyle w:val="Bodytext32"/>
                <w:sz w:val="24"/>
                <w:szCs w:val="24"/>
              </w:rPr>
              <w:t>2016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142.5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198.6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-56.1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</w:pPr>
            <w:r w:rsidRPr="00CD7D0E">
              <w:rPr>
                <w:rStyle w:val="Bodytext32"/>
                <w:sz w:val="24"/>
                <w:szCs w:val="24"/>
              </w:rPr>
              <w:t>-32 6</w:t>
            </w:r>
          </w:p>
        </w:tc>
      </w:tr>
      <w:tr w:rsidR="00A345D4" w:rsidRPr="00CD7D0E" w:rsidTr="00DD2230">
        <w:trPr>
          <w:trHeight w:val="2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left="160"/>
              <w:rPr>
                <w:rStyle w:val="Bodytext32"/>
                <w:sz w:val="24"/>
                <w:szCs w:val="24"/>
              </w:rPr>
            </w:pPr>
            <w:r w:rsidRPr="00CD7D0E">
              <w:rPr>
                <w:rStyle w:val="Bodytext32"/>
                <w:sz w:val="24"/>
                <w:szCs w:val="24"/>
              </w:rPr>
              <w:t>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557"/>
              <w:jc w:val="right"/>
              <w:rPr>
                <w:rStyle w:val="Bodytext32"/>
                <w:sz w:val="24"/>
                <w:szCs w:val="24"/>
              </w:rPr>
            </w:pPr>
            <w:r w:rsidRPr="00CD7D0E">
              <w:rPr>
                <w:rStyle w:val="Bodytext32"/>
                <w:sz w:val="24"/>
                <w:szCs w:val="24"/>
              </w:rPr>
              <w:t>157.0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415"/>
              <w:jc w:val="right"/>
              <w:rPr>
                <w:rStyle w:val="Bodytext32"/>
                <w:sz w:val="24"/>
                <w:szCs w:val="24"/>
              </w:rPr>
            </w:pPr>
            <w:r w:rsidRPr="00CD7D0E">
              <w:rPr>
                <w:rStyle w:val="Bodytext32"/>
                <w:sz w:val="24"/>
                <w:szCs w:val="24"/>
              </w:rPr>
              <w:t>233.8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699"/>
              <w:jc w:val="right"/>
              <w:rPr>
                <w:rStyle w:val="Bodytext32"/>
                <w:sz w:val="24"/>
                <w:szCs w:val="24"/>
              </w:rPr>
            </w:pPr>
            <w:r w:rsidRPr="00CD7D0E">
              <w:rPr>
                <w:rStyle w:val="Bodytext32"/>
                <w:sz w:val="24"/>
                <w:szCs w:val="24"/>
              </w:rPr>
              <w:t>- 76.8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CD7D0E" w:rsidRDefault="00F70EAF" w:rsidP="00DD2230">
            <w:pPr>
              <w:framePr w:w="9729" w:h="11183" w:hRule="exact" w:wrap="notBeside" w:vAnchor="text" w:hAnchor="page" w:x="1179" w:y="-3"/>
              <w:spacing w:before="60" w:after="60"/>
              <w:ind w:right="841"/>
              <w:jc w:val="right"/>
              <w:rPr>
                <w:rStyle w:val="Bodytext32"/>
                <w:sz w:val="24"/>
                <w:szCs w:val="24"/>
              </w:rPr>
            </w:pPr>
            <w:r w:rsidRPr="00CD7D0E">
              <w:rPr>
                <w:rStyle w:val="Bodytext32"/>
                <w:sz w:val="24"/>
                <w:szCs w:val="24"/>
              </w:rPr>
              <w:t>- 47.1</w:t>
            </w:r>
          </w:p>
        </w:tc>
      </w:tr>
    </w:tbl>
    <w:p w:rsidR="00A345D4" w:rsidRDefault="00A345D4" w:rsidP="00DD2230">
      <w:pPr>
        <w:framePr w:w="9729" w:h="11183" w:hRule="exact" w:wrap="notBeside" w:vAnchor="text" w:hAnchor="page" w:x="1179" w:y="-3"/>
        <w:spacing w:before="120" w:line="240" w:lineRule="exact"/>
        <w:rPr>
          <w:rStyle w:val="Tablecaption"/>
          <w:sz w:val="24"/>
          <w:szCs w:val="24"/>
        </w:rPr>
      </w:pPr>
    </w:p>
    <w:p w:rsidR="00F70EAF" w:rsidRPr="00A345D4" w:rsidRDefault="00F70EAF" w:rsidP="00DD2230">
      <w:pPr>
        <w:framePr w:w="9729" w:h="11183" w:hRule="exact" w:wrap="notBeside" w:vAnchor="text" w:hAnchor="page" w:x="1179" w:y="-3"/>
        <w:spacing w:before="120" w:line="240" w:lineRule="exact"/>
        <w:ind w:left="708"/>
      </w:pPr>
      <w:r w:rsidRPr="00A345D4">
        <w:rPr>
          <w:rStyle w:val="Tablecaption"/>
          <w:sz w:val="24"/>
          <w:szCs w:val="24"/>
        </w:rPr>
        <w:t>Kaynaklar:</w:t>
      </w:r>
    </w:p>
    <w:p w:rsidR="00F70EAF" w:rsidRPr="00A345D4" w:rsidRDefault="00F70EAF" w:rsidP="00DD2230">
      <w:pPr>
        <w:framePr w:w="9729" w:h="11183" w:hRule="exact" w:wrap="notBeside" w:vAnchor="text" w:hAnchor="page" w:x="1179" w:y="-3"/>
        <w:tabs>
          <w:tab w:val="left" w:pos="206"/>
        </w:tabs>
        <w:spacing w:before="120" w:line="240" w:lineRule="exact"/>
        <w:ind w:left="708"/>
        <w:rPr>
          <w:rStyle w:val="Tablecaption"/>
          <w:rFonts w:ascii="Times New Roman" w:eastAsia="Times New Roman" w:hAnsi="Times New Roman" w:cs="Times New Roman"/>
          <w:sz w:val="24"/>
          <w:szCs w:val="24"/>
        </w:rPr>
      </w:pPr>
      <w:r w:rsidRPr="00A345D4">
        <w:rPr>
          <w:rStyle w:val="Tablecaption"/>
          <w:sz w:val="24"/>
          <w:szCs w:val="24"/>
        </w:rPr>
        <w:t xml:space="preserve">İhracat, İthalat ve Dış Ticaret Açığı Değerleri </w:t>
      </w:r>
      <w:r w:rsidR="00A345D4" w:rsidRPr="00A345D4">
        <w:rPr>
          <w:rStyle w:val="Tablecaption"/>
          <w:sz w:val="24"/>
          <w:szCs w:val="24"/>
        </w:rPr>
        <w:t>–</w:t>
      </w:r>
      <w:r w:rsidRPr="00A345D4">
        <w:rPr>
          <w:rStyle w:val="Tablecaption"/>
          <w:sz w:val="24"/>
          <w:szCs w:val="24"/>
        </w:rPr>
        <w:t xml:space="preserve"> TÜİK</w:t>
      </w:r>
    </w:p>
    <w:p w:rsidR="00A345D4" w:rsidRPr="00A345D4" w:rsidRDefault="00A345D4" w:rsidP="00DD2230">
      <w:pPr>
        <w:framePr w:w="9729" w:h="11183" w:hRule="exact" w:wrap="notBeside" w:vAnchor="text" w:hAnchor="page" w:x="1179" w:y="-3"/>
        <w:spacing w:before="120"/>
        <w:ind w:left="708"/>
      </w:pPr>
      <w:r w:rsidRPr="00A345D4">
        <w:rPr>
          <w:rStyle w:val="Tablecaption"/>
          <w:sz w:val="24"/>
          <w:szCs w:val="24"/>
        </w:rPr>
        <w:t>Cari Açık Rakamları - T.C. Merkez</w:t>
      </w:r>
      <w:r w:rsidR="001F0272">
        <w:rPr>
          <w:rStyle w:val="Tablecaption"/>
          <w:sz w:val="24"/>
          <w:szCs w:val="24"/>
        </w:rPr>
        <w:t xml:space="preserve"> Bankası </w:t>
      </w:r>
    </w:p>
    <w:p w:rsidR="00F70EAF" w:rsidRDefault="00F70EAF" w:rsidP="00F70EAF"/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F70EAF" w:rsidRDefault="00F70EAF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F70EAF" w:rsidRDefault="00F70EAF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F70EAF" w:rsidRDefault="00F70EAF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Pr="00023206" w:rsidRDefault="00DF7CA9" w:rsidP="00DF7CA9">
      <w:pPr>
        <w:pStyle w:val="ListeParagraf"/>
        <w:numPr>
          <w:ilvl w:val="0"/>
          <w:numId w:val="9"/>
        </w:numPr>
        <w:tabs>
          <w:tab w:val="left" w:pos="709"/>
          <w:tab w:val="left" w:pos="3828"/>
          <w:tab w:val="left" w:pos="4253"/>
        </w:tabs>
        <w:spacing w:line="360" w:lineRule="auto"/>
        <w:jc w:val="both"/>
        <w:rPr>
          <w:b/>
          <w:sz w:val="36"/>
          <w:szCs w:val="36"/>
        </w:rPr>
      </w:pPr>
      <w:r w:rsidRPr="00023206">
        <w:rPr>
          <w:b/>
          <w:sz w:val="36"/>
          <w:szCs w:val="36"/>
        </w:rPr>
        <w:t>BÜTÇE DENGESİ</w:t>
      </w:r>
      <w:r>
        <w:rPr>
          <w:b/>
          <w:sz w:val="36"/>
          <w:szCs w:val="36"/>
        </w:rPr>
        <w:t xml:space="preserve"> (Açığı)</w:t>
      </w:r>
      <w:r w:rsidRPr="00023206">
        <w:rPr>
          <w:b/>
          <w:sz w:val="36"/>
          <w:szCs w:val="36"/>
        </w:rPr>
        <w:t>:</w:t>
      </w:r>
    </w:p>
    <w:p w:rsidR="00DF7CA9" w:rsidRDefault="00DF7CA9" w:rsidP="00DF7CA9">
      <w:pPr>
        <w:pStyle w:val="ListeParagraf"/>
        <w:tabs>
          <w:tab w:val="left" w:pos="709"/>
          <w:tab w:val="left" w:pos="3828"/>
          <w:tab w:val="left" w:pos="4253"/>
        </w:tabs>
        <w:spacing w:line="360" w:lineRule="auto"/>
        <w:ind w:left="0" w:firstLine="709"/>
        <w:jc w:val="both"/>
        <w:rPr>
          <w:b/>
          <w:sz w:val="36"/>
          <w:szCs w:val="36"/>
        </w:rPr>
      </w:pPr>
    </w:p>
    <w:p w:rsidR="00DF7CA9" w:rsidRPr="00023206" w:rsidRDefault="00DF7CA9" w:rsidP="00DF7CA9">
      <w:pPr>
        <w:pStyle w:val="ListeParagraf"/>
        <w:tabs>
          <w:tab w:val="left" w:pos="709"/>
          <w:tab w:val="left" w:pos="3828"/>
          <w:tab w:val="left" w:pos="4253"/>
        </w:tabs>
        <w:spacing w:line="360" w:lineRule="auto"/>
        <w:ind w:left="0" w:firstLine="709"/>
        <w:jc w:val="both"/>
        <w:rPr>
          <w:b/>
          <w:sz w:val="36"/>
          <w:szCs w:val="36"/>
        </w:rPr>
      </w:pPr>
      <w:r w:rsidRPr="00023206">
        <w:rPr>
          <w:b/>
          <w:sz w:val="36"/>
          <w:szCs w:val="36"/>
        </w:rPr>
        <w:t xml:space="preserve"> Bütçe 2018 yılının ilk dört ayında (Ocak-Nisan) döneminde 23.2 milyar TL açık vermiştir. Yılın tamamındaki bütçe açığı 65.9 milyar TL olarak hedeflenmiştir. </w:t>
      </w:r>
      <w:r w:rsidRPr="00023206">
        <w:rPr>
          <w:sz w:val="36"/>
          <w:szCs w:val="36"/>
        </w:rPr>
        <w:t>2017 yılı bütçe açığı 61.7 milyar TL idi. Yani 2018 yılı bütçesinde öngörülen açık 2017 yılı bütçesinden daha fazladır.</w:t>
      </w: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DF7CA9" w:rsidRDefault="00DF7CA9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5314AB" w:rsidRDefault="005314AB" w:rsidP="003242FB">
      <w:pPr>
        <w:pStyle w:val="ListeParagraf"/>
        <w:spacing w:line="360" w:lineRule="auto"/>
        <w:ind w:left="0" w:firstLine="708"/>
        <w:jc w:val="both"/>
        <w:rPr>
          <w:sz w:val="36"/>
          <w:szCs w:val="36"/>
        </w:rPr>
      </w:pPr>
    </w:p>
    <w:p w:rsidR="002539CC" w:rsidRDefault="002539CC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DF7CA9" w:rsidRDefault="00DF7CA9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DF7CA9" w:rsidRDefault="00DF7CA9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DF7CA9" w:rsidRDefault="00DF7CA9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DF7CA9" w:rsidRDefault="00DF7CA9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DF7CA9" w:rsidRDefault="00DF7CA9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DF7CA9" w:rsidRDefault="00DF7CA9" w:rsidP="002539CC">
      <w:pPr>
        <w:pStyle w:val="ListeParagraf"/>
        <w:tabs>
          <w:tab w:val="left" w:pos="709"/>
          <w:tab w:val="left" w:pos="993"/>
          <w:tab w:val="left" w:pos="3828"/>
          <w:tab w:val="left" w:pos="4253"/>
        </w:tabs>
        <w:ind w:left="0"/>
        <w:jc w:val="both"/>
        <w:rPr>
          <w:sz w:val="20"/>
          <w:szCs w:val="20"/>
        </w:rPr>
      </w:pPr>
    </w:p>
    <w:p w:rsidR="00897635" w:rsidRDefault="00897635" w:rsidP="00796A86">
      <w:pPr>
        <w:pStyle w:val="ListeParagraf"/>
        <w:tabs>
          <w:tab w:val="left" w:pos="709"/>
          <w:tab w:val="left" w:pos="3828"/>
          <w:tab w:val="left" w:pos="4253"/>
        </w:tabs>
        <w:spacing w:line="360" w:lineRule="auto"/>
        <w:ind w:left="0" w:firstLine="709"/>
        <w:jc w:val="both"/>
        <w:rPr>
          <w:b/>
          <w:sz w:val="20"/>
          <w:szCs w:val="20"/>
        </w:rPr>
      </w:pPr>
    </w:p>
    <w:p w:rsidR="00897635" w:rsidRPr="0036531B" w:rsidRDefault="00897635" w:rsidP="00DF7CA9">
      <w:pPr>
        <w:pStyle w:val="ListeParagraf"/>
        <w:numPr>
          <w:ilvl w:val="0"/>
          <w:numId w:val="9"/>
        </w:numPr>
        <w:tabs>
          <w:tab w:val="left" w:pos="709"/>
          <w:tab w:val="left" w:pos="3828"/>
          <w:tab w:val="left" w:pos="4253"/>
        </w:tabs>
        <w:spacing w:line="360" w:lineRule="auto"/>
        <w:jc w:val="both"/>
        <w:rPr>
          <w:b/>
          <w:sz w:val="36"/>
          <w:szCs w:val="36"/>
        </w:rPr>
      </w:pPr>
      <w:r w:rsidRPr="0036531B">
        <w:rPr>
          <w:b/>
          <w:sz w:val="36"/>
          <w:szCs w:val="36"/>
        </w:rPr>
        <w:t>FAİZ:</w:t>
      </w:r>
    </w:p>
    <w:p w:rsidR="00031C3A" w:rsidRPr="0036531B" w:rsidRDefault="00031C3A" w:rsidP="00031C3A">
      <w:pPr>
        <w:pStyle w:val="ListeParagraf"/>
        <w:tabs>
          <w:tab w:val="left" w:pos="284"/>
          <w:tab w:val="left" w:pos="709"/>
          <w:tab w:val="left" w:pos="993"/>
        </w:tabs>
        <w:spacing w:after="200" w:line="360" w:lineRule="auto"/>
        <w:ind w:left="0"/>
        <w:jc w:val="both"/>
        <w:rPr>
          <w:sz w:val="36"/>
          <w:szCs w:val="36"/>
        </w:rPr>
      </w:pPr>
      <w:r w:rsidRPr="0036531B">
        <w:rPr>
          <w:sz w:val="36"/>
          <w:szCs w:val="36"/>
        </w:rPr>
        <w:tab/>
      </w:r>
      <w:r w:rsidRPr="0036531B">
        <w:rPr>
          <w:sz w:val="36"/>
          <w:szCs w:val="36"/>
        </w:rPr>
        <w:tab/>
        <w:t xml:space="preserve">2017 yılında bütçeden </w:t>
      </w:r>
      <w:r w:rsidRPr="0036531B">
        <w:rPr>
          <w:b/>
          <w:sz w:val="36"/>
          <w:szCs w:val="36"/>
        </w:rPr>
        <w:t>faize 56.7 milyar TL</w:t>
      </w:r>
      <w:r w:rsidRPr="0036531B">
        <w:rPr>
          <w:sz w:val="36"/>
          <w:szCs w:val="36"/>
        </w:rPr>
        <w:t xml:space="preserve"> ödeme yapılmış idi. </w:t>
      </w:r>
      <w:r w:rsidR="00D24F57" w:rsidRPr="00DF7CA9">
        <w:rPr>
          <w:b/>
          <w:sz w:val="36"/>
          <w:szCs w:val="36"/>
        </w:rPr>
        <w:t>15 yıllık</w:t>
      </w:r>
      <w:r w:rsidR="00D24F57" w:rsidRPr="0036531B">
        <w:rPr>
          <w:sz w:val="36"/>
          <w:szCs w:val="36"/>
        </w:rPr>
        <w:t xml:space="preserve"> (2002-2017) AK Parti iktidarında bütçeden faize ödenen para miktarı </w:t>
      </w:r>
      <w:r w:rsidR="00D24F57" w:rsidRPr="0036531B">
        <w:rPr>
          <w:b/>
          <w:sz w:val="36"/>
          <w:szCs w:val="36"/>
        </w:rPr>
        <w:t>758 milyar TL’dir.</w:t>
      </w:r>
      <w:r w:rsidR="00D24F57" w:rsidRPr="0036531B">
        <w:rPr>
          <w:sz w:val="36"/>
          <w:szCs w:val="36"/>
        </w:rPr>
        <w:t xml:space="preserve"> </w:t>
      </w:r>
      <w:r w:rsidRPr="0036531B">
        <w:rPr>
          <w:sz w:val="36"/>
          <w:szCs w:val="36"/>
        </w:rPr>
        <w:t xml:space="preserve">2018 yılının ilk </w:t>
      </w:r>
      <w:r w:rsidR="00D24F57" w:rsidRPr="0036531B">
        <w:rPr>
          <w:sz w:val="36"/>
          <w:szCs w:val="36"/>
        </w:rPr>
        <w:t>dört</w:t>
      </w:r>
      <w:r w:rsidRPr="0036531B">
        <w:rPr>
          <w:sz w:val="36"/>
          <w:szCs w:val="36"/>
        </w:rPr>
        <w:t xml:space="preserve"> ayında (Ocak-</w:t>
      </w:r>
      <w:r w:rsidR="00D24F57" w:rsidRPr="0036531B">
        <w:rPr>
          <w:sz w:val="36"/>
          <w:szCs w:val="36"/>
        </w:rPr>
        <w:t>Nisan</w:t>
      </w:r>
      <w:r w:rsidRPr="0036531B">
        <w:rPr>
          <w:sz w:val="36"/>
          <w:szCs w:val="36"/>
        </w:rPr>
        <w:t xml:space="preserve">) da bütçeden </w:t>
      </w:r>
      <w:r w:rsidR="00D24F57" w:rsidRPr="0036531B">
        <w:rPr>
          <w:sz w:val="36"/>
          <w:szCs w:val="36"/>
        </w:rPr>
        <w:t>26.4</w:t>
      </w:r>
      <w:r w:rsidRPr="0036531B">
        <w:rPr>
          <w:sz w:val="36"/>
          <w:szCs w:val="36"/>
        </w:rPr>
        <w:t xml:space="preserve"> milyar TL faiz harcaması yapıldı. 2018 yılının tamamında bütçeden yapılacak faiz harcaması 71.7 milyar TL olarak hedeflenmiştir.</w:t>
      </w:r>
      <w:r w:rsidR="00D24F57" w:rsidRPr="0036531B">
        <w:rPr>
          <w:sz w:val="36"/>
          <w:szCs w:val="36"/>
        </w:rPr>
        <w:t xml:space="preserve"> Bütçeden yapılacak faiz ödemeleri yıllar itibari ile artmaktadır. </w:t>
      </w:r>
      <w:r w:rsidR="00D24F57" w:rsidRPr="00DF7CA9">
        <w:rPr>
          <w:b/>
          <w:sz w:val="36"/>
          <w:szCs w:val="36"/>
        </w:rPr>
        <w:t>2019</w:t>
      </w:r>
      <w:r w:rsidR="00D24F57" w:rsidRPr="0036531B">
        <w:rPr>
          <w:sz w:val="36"/>
          <w:szCs w:val="36"/>
        </w:rPr>
        <w:t xml:space="preserve"> yılında bütçeden yapılacak faiz ödemelerinin </w:t>
      </w:r>
      <w:r w:rsidR="00D24F57" w:rsidRPr="00DF7CA9">
        <w:rPr>
          <w:b/>
          <w:sz w:val="36"/>
          <w:szCs w:val="36"/>
        </w:rPr>
        <w:t>85 milyar TL</w:t>
      </w:r>
      <w:r w:rsidR="007C02A8">
        <w:rPr>
          <w:b/>
          <w:sz w:val="36"/>
          <w:szCs w:val="36"/>
        </w:rPr>
        <w:t>,</w:t>
      </w:r>
      <w:r w:rsidR="00D24F57" w:rsidRPr="0036531B">
        <w:rPr>
          <w:sz w:val="36"/>
          <w:szCs w:val="36"/>
        </w:rPr>
        <w:t xml:space="preserve"> </w:t>
      </w:r>
      <w:r w:rsidR="00D24F57" w:rsidRPr="00DF7CA9">
        <w:rPr>
          <w:b/>
          <w:sz w:val="36"/>
          <w:szCs w:val="36"/>
        </w:rPr>
        <w:t>2020 yılında ise</w:t>
      </w:r>
      <w:r w:rsidR="00D24F57" w:rsidRPr="0036531B">
        <w:rPr>
          <w:sz w:val="36"/>
          <w:szCs w:val="36"/>
        </w:rPr>
        <w:t xml:space="preserve"> bütçeden yapılacak faiz ödemelerinin </w:t>
      </w:r>
      <w:r w:rsidR="00D24F57" w:rsidRPr="00DF7CA9">
        <w:rPr>
          <w:b/>
          <w:sz w:val="36"/>
          <w:szCs w:val="36"/>
        </w:rPr>
        <w:t>96 milyar TL</w:t>
      </w:r>
      <w:r w:rsidR="00D24F57" w:rsidRPr="0036531B">
        <w:rPr>
          <w:sz w:val="36"/>
          <w:szCs w:val="36"/>
        </w:rPr>
        <w:t xml:space="preserve"> olacağı öngörülmektedir.</w:t>
      </w:r>
    </w:p>
    <w:p w:rsidR="00031C3A" w:rsidRPr="0036531B" w:rsidRDefault="00031C3A" w:rsidP="00031C3A">
      <w:pPr>
        <w:pStyle w:val="ListeParagraf"/>
        <w:rPr>
          <w:sz w:val="36"/>
          <w:szCs w:val="36"/>
        </w:rPr>
      </w:pPr>
    </w:p>
    <w:p w:rsidR="00031C3A" w:rsidRPr="00DF7CA9" w:rsidRDefault="00031C3A" w:rsidP="00031C3A">
      <w:pPr>
        <w:pStyle w:val="ListeParagraf"/>
        <w:tabs>
          <w:tab w:val="left" w:pos="284"/>
          <w:tab w:val="left" w:pos="709"/>
        </w:tabs>
        <w:spacing w:after="200" w:line="360" w:lineRule="auto"/>
        <w:ind w:left="0"/>
        <w:jc w:val="both"/>
        <w:rPr>
          <w:b/>
          <w:sz w:val="36"/>
          <w:szCs w:val="36"/>
        </w:rPr>
      </w:pPr>
      <w:r w:rsidRPr="0036531B">
        <w:rPr>
          <w:sz w:val="36"/>
          <w:szCs w:val="36"/>
        </w:rPr>
        <w:tab/>
      </w:r>
      <w:r w:rsidRPr="0036531B">
        <w:rPr>
          <w:sz w:val="36"/>
          <w:szCs w:val="36"/>
        </w:rPr>
        <w:tab/>
        <w:t xml:space="preserve">Türkiye Cumhuriyeti Merkez Bankası (TCMB) Para Politikası Kurulu Nisan 2018’deki toplantısında geç likidite penceresi faiz oranında 75 baz puan artırıma gitti ve </w:t>
      </w:r>
      <w:r w:rsidR="00F00B1D">
        <w:rPr>
          <w:sz w:val="36"/>
          <w:szCs w:val="36"/>
        </w:rPr>
        <w:t xml:space="preserve">        </w:t>
      </w:r>
      <w:r w:rsidRPr="00DF7CA9">
        <w:rPr>
          <w:b/>
          <w:sz w:val="36"/>
          <w:szCs w:val="36"/>
        </w:rPr>
        <w:t>% 12.75 olan geç likidite faiz oranını % 13.5’e yükseltti.</w:t>
      </w:r>
      <w:r w:rsidRPr="0036531B">
        <w:rPr>
          <w:sz w:val="36"/>
          <w:szCs w:val="36"/>
        </w:rPr>
        <w:t xml:space="preserve"> Gecelik borç verme faiz oranında ve haftalık repo ihale faiz oranında değişikliğe gitmedi. Merkez Bankası faiz oranında yükseltme yapınca bankalar da faiz oranını yükseltme cihetine gideceklerdir. Bu durum </w:t>
      </w:r>
      <w:r w:rsidRPr="00DF7CA9">
        <w:rPr>
          <w:b/>
          <w:sz w:val="36"/>
          <w:szCs w:val="36"/>
        </w:rPr>
        <w:t>Sayın Cumhurbaşkanının faizlerin düşürülmesi talebi ile çelişiyor. Ama maalesef faizler yükseliyor.</w:t>
      </w:r>
    </w:p>
    <w:p w:rsidR="00031C3A" w:rsidRPr="0036531B" w:rsidRDefault="00031C3A" w:rsidP="00031C3A">
      <w:pPr>
        <w:pStyle w:val="ListeParagraf"/>
        <w:tabs>
          <w:tab w:val="left" w:pos="709"/>
        </w:tabs>
        <w:spacing w:after="200" w:line="360" w:lineRule="auto"/>
        <w:ind w:left="0"/>
        <w:jc w:val="both"/>
        <w:rPr>
          <w:b/>
          <w:sz w:val="36"/>
          <w:szCs w:val="36"/>
        </w:rPr>
      </w:pPr>
      <w:r w:rsidRPr="0036531B">
        <w:rPr>
          <w:sz w:val="36"/>
          <w:szCs w:val="36"/>
        </w:rPr>
        <w:lastRenderedPageBreak/>
        <w:tab/>
        <w:t xml:space="preserve"> Tahvil piyasasındaki faiz oranı da yüksektir. </w:t>
      </w:r>
      <w:r w:rsidR="0036531B" w:rsidRPr="0036531B">
        <w:rPr>
          <w:sz w:val="36"/>
          <w:szCs w:val="36"/>
        </w:rPr>
        <w:t>21</w:t>
      </w:r>
      <w:r w:rsidRPr="0036531B">
        <w:rPr>
          <w:sz w:val="36"/>
          <w:szCs w:val="36"/>
        </w:rPr>
        <w:t xml:space="preserve">.05.2018’de Tahvil piyasasındaki faiz oranı </w:t>
      </w:r>
      <w:r w:rsidRPr="0036531B">
        <w:rPr>
          <w:b/>
          <w:sz w:val="36"/>
          <w:szCs w:val="36"/>
        </w:rPr>
        <w:t>% 1</w:t>
      </w:r>
      <w:r w:rsidR="0036531B" w:rsidRPr="0036531B">
        <w:rPr>
          <w:b/>
          <w:sz w:val="36"/>
          <w:szCs w:val="36"/>
        </w:rPr>
        <w:t>7</w:t>
      </w:r>
      <w:r w:rsidRPr="0036531B">
        <w:rPr>
          <w:b/>
          <w:sz w:val="36"/>
          <w:szCs w:val="36"/>
        </w:rPr>
        <w:t>.</w:t>
      </w:r>
      <w:r w:rsidR="0036531B" w:rsidRPr="0036531B">
        <w:rPr>
          <w:b/>
          <w:sz w:val="36"/>
          <w:szCs w:val="36"/>
        </w:rPr>
        <w:t>05</w:t>
      </w:r>
      <w:r w:rsidRPr="0036531B">
        <w:rPr>
          <w:b/>
          <w:sz w:val="36"/>
          <w:szCs w:val="36"/>
        </w:rPr>
        <w:t xml:space="preserve"> düzeyinde seyretmektedir. </w:t>
      </w:r>
    </w:p>
    <w:p w:rsidR="00031C3A" w:rsidRPr="0036531B" w:rsidRDefault="00031C3A" w:rsidP="00031C3A">
      <w:pPr>
        <w:pStyle w:val="ListeParagraf"/>
        <w:tabs>
          <w:tab w:val="left" w:pos="709"/>
          <w:tab w:val="left" w:pos="993"/>
        </w:tabs>
        <w:spacing w:after="200" w:line="360" w:lineRule="auto"/>
        <w:ind w:left="0"/>
        <w:jc w:val="both"/>
        <w:rPr>
          <w:sz w:val="36"/>
          <w:szCs w:val="36"/>
        </w:rPr>
      </w:pPr>
      <w:r w:rsidRPr="0036531B">
        <w:rPr>
          <w:sz w:val="36"/>
          <w:szCs w:val="36"/>
        </w:rPr>
        <w:tab/>
        <w:t>Tabii, TCMB’nın ve tahvil piyasasındaki faiz oranının yüksek olması ticari faizlerdeki faiz oranlarının da yükselmesine sebep olmaktadır. Halen Bankaların uyguladığı ticari faiz oranı % 18-19 düzeyindedir. Bu faiz oranı ile esnafın, iş adamının iş kurup çalışması, hatta mevcut işini sürdürebilmesi çok zor. Bu durumun ortaya çıkardığı sonuç bankaların karlarının artması, vatandaşın ise mağdur edilmesi, ezilmesidir</w:t>
      </w:r>
      <w:r w:rsidR="00FA2123">
        <w:rPr>
          <w:sz w:val="36"/>
          <w:szCs w:val="36"/>
        </w:rPr>
        <w:t>.</w:t>
      </w:r>
    </w:p>
    <w:p w:rsidR="00031C3A" w:rsidRPr="0036531B" w:rsidRDefault="00031C3A" w:rsidP="00031C3A">
      <w:pPr>
        <w:pStyle w:val="ListeParagraf"/>
        <w:tabs>
          <w:tab w:val="left" w:pos="284"/>
          <w:tab w:val="left" w:pos="993"/>
        </w:tabs>
        <w:spacing w:after="200" w:line="360" w:lineRule="auto"/>
        <w:ind w:left="0"/>
        <w:jc w:val="both"/>
        <w:rPr>
          <w:sz w:val="36"/>
          <w:szCs w:val="36"/>
        </w:rPr>
      </w:pPr>
    </w:p>
    <w:p w:rsidR="00BB74BD" w:rsidRPr="007F2D6B" w:rsidRDefault="00EE1119" w:rsidP="00BB74BD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ind w:left="6946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BB74BD">
        <w:rPr>
          <w:b/>
        </w:rPr>
        <w:t xml:space="preserve">                                                                                                                                                      </w:t>
      </w:r>
      <w:r w:rsidR="00BB74BD" w:rsidRPr="007F2D6B">
        <w:rPr>
          <w:rFonts w:ascii="Arial" w:hAnsi="Arial" w:cs="Arial"/>
          <w:b/>
          <w:sz w:val="22"/>
          <w:szCs w:val="22"/>
        </w:rPr>
        <w:t>Prof Dr. Latif ÖZTEK</w:t>
      </w:r>
    </w:p>
    <w:p w:rsidR="00BB74BD" w:rsidRPr="007F2D6B" w:rsidRDefault="00BB74BD" w:rsidP="00BB74BD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F2D6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F2D6B">
        <w:rPr>
          <w:rFonts w:ascii="Arial" w:hAnsi="Arial" w:cs="Arial"/>
          <w:b/>
          <w:sz w:val="22"/>
          <w:szCs w:val="22"/>
        </w:rPr>
        <w:t xml:space="preserve">             Genel Başkan Yardımcısı </w:t>
      </w:r>
    </w:p>
    <w:p w:rsidR="00BB74BD" w:rsidRDefault="00BB74BD" w:rsidP="00BB74BD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F2D6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F2D6B">
        <w:rPr>
          <w:rFonts w:ascii="Arial" w:hAnsi="Arial" w:cs="Arial"/>
          <w:b/>
          <w:sz w:val="22"/>
          <w:szCs w:val="22"/>
        </w:rPr>
        <w:t xml:space="preserve">      Ekonomik İşler Başkanı</w:t>
      </w:r>
    </w:p>
    <w:p w:rsidR="00F70EAF" w:rsidRDefault="00B1149B" w:rsidP="00617872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b/>
        </w:rPr>
      </w:pPr>
      <w:r>
        <w:rPr>
          <w:b/>
        </w:rPr>
        <w:t xml:space="preserve"> </w:t>
      </w:r>
      <w:r w:rsidR="00A41E7F">
        <w:rPr>
          <w:b/>
        </w:rPr>
        <w:t xml:space="preserve"> </w:t>
      </w:r>
      <w:r>
        <w:rPr>
          <w:b/>
        </w:rPr>
        <w:t xml:space="preserve"> </w:t>
      </w:r>
    </w:p>
    <w:p w:rsidR="00617872" w:rsidRDefault="00617872" w:rsidP="00617872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b/>
        </w:rPr>
      </w:pPr>
    </w:p>
    <w:p w:rsidR="00617872" w:rsidRDefault="00617872" w:rsidP="00617872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b/>
        </w:rPr>
      </w:pPr>
    </w:p>
    <w:p w:rsidR="00617872" w:rsidRDefault="00617872" w:rsidP="00617872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b/>
        </w:rPr>
      </w:pPr>
    </w:p>
    <w:p w:rsidR="00617872" w:rsidRDefault="00617872" w:rsidP="00617872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F70EAF" w:rsidRDefault="00F70EAF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17872" w:rsidRDefault="00617872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17872" w:rsidRDefault="00617872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17872" w:rsidRDefault="00617872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17872" w:rsidRDefault="00617872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17872" w:rsidRDefault="00617872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17872" w:rsidRDefault="00617872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F70EAF" w:rsidRDefault="00F70EAF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F70EAF" w:rsidRDefault="00F70EAF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7C02A8" w:rsidRDefault="007C02A8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7C02A8" w:rsidRDefault="007C02A8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F70EAF" w:rsidRDefault="00F70EAF" w:rsidP="00D375B5">
      <w:pPr>
        <w:spacing w:after="71" w:line="240" w:lineRule="exact"/>
        <w:ind w:left="907" w:right="181" w:hanging="907"/>
        <w:rPr>
          <w:rStyle w:val="Bodytext11"/>
          <w:sz w:val="24"/>
          <w:szCs w:val="24"/>
        </w:rPr>
      </w:pPr>
      <w:r w:rsidRPr="00D375B5">
        <w:rPr>
          <w:rStyle w:val="Bodytext11"/>
          <w:sz w:val="24"/>
          <w:szCs w:val="24"/>
        </w:rPr>
        <w:t xml:space="preserve">Tablo </w:t>
      </w:r>
      <w:r w:rsidR="00876A79" w:rsidRPr="00D375B5">
        <w:rPr>
          <w:rStyle w:val="Bodytext11"/>
          <w:sz w:val="24"/>
          <w:szCs w:val="24"/>
        </w:rPr>
        <w:t>5</w:t>
      </w:r>
      <w:r w:rsidRPr="00D375B5">
        <w:rPr>
          <w:rStyle w:val="Bodytext11"/>
          <w:sz w:val="24"/>
          <w:szCs w:val="24"/>
        </w:rPr>
        <w:t>: Yıllar itibariyle Türkiye Bütçesi ve Bu Bütçeden Yapılan Faiz Ö</w:t>
      </w:r>
      <w:r w:rsidR="00D375B5">
        <w:rPr>
          <w:rStyle w:val="Bodytext11"/>
          <w:sz w:val="24"/>
          <w:szCs w:val="24"/>
        </w:rPr>
        <w:t>demeleri ile Tarımsal Destek</w:t>
      </w:r>
      <w:r w:rsidRPr="00D375B5">
        <w:rPr>
          <w:rStyle w:val="Bodytext11"/>
          <w:sz w:val="24"/>
          <w:szCs w:val="24"/>
        </w:rPr>
        <w:t xml:space="preserve"> Ödemeleri ve Kamu Brüt Toplam Borç Stoku</w:t>
      </w:r>
    </w:p>
    <w:p w:rsidR="00D375B5" w:rsidRPr="00D375B5" w:rsidRDefault="00D375B5" w:rsidP="00D375B5">
      <w:pPr>
        <w:spacing w:after="71" w:line="240" w:lineRule="exact"/>
        <w:ind w:left="907" w:right="181" w:hanging="907"/>
      </w:pPr>
    </w:p>
    <w:tbl>
      <w:tblPr>
        <w:tblW w:w="0" w:type="auto"/>
        <w:jc w:val="center"/>
        <w:tblInd w:w="-9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1559"/>
        <w:gridCol w:w="1843"/>
        <w:gridCol w:w="1948"/>
        <w:gridCol w:w="1560"/>
      </w:tblGrid>
      <w:tr w:rsidR="00D375B5" w:rsidRPr="00D375B5" w:rsidTr="0080077D">
        <w:trPr>
          <w:trHeight w:val="110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720" w:after="120" w:line="40" w:lineRule="atLeast"/>
              <w:ind w:left="-24"/>
              <w:jc w:val="center"/>
              <w:rPr>
                <w:b/>
              </w:rPr>
            </w:pPr>
            <w:r w:rsidRPr="00177A2C">
              <w:rPr>
                <w:rStyle w:val="Bodytext32"/>
                <w:b/>
                <w:sz w:val="24"/>
                <w:szCs w:val="24"/>
              </w:rPr>
              <w:t>Yıllar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D375B5" w:rsidP="00177A2C">
            <w:pPr>
              <w:framePr w:w="8556" w:h="10113" w:hRule="exact" w:wrap="notBeside" w:vAnchor="text" w:hAnchor="page" w:x="1473" w:y="5"/>
              <w:spacing w:before="480" w:after="120" w:line="40" w:lineRule="atLeast"/>
              <w:jc w:val="center"/>
              <w:rPr>
                <w:b/>
              </w:rPr>
            </w:pPr>
            <w:r w:rsidRPr="00177A2C">
              <w:rPr>
                <w:rStyle w:val="Bodytext32"/>
                <w:b/>
                <w:sz w:val="24"/>
                <w:szCs w:val="24"/>
              </w:rPr>
              <w:t>Bütçe</w:t>
            </w:r>
            <w:r w:rsidRPr="00177A2C">
              <w:rPr>
                <w:rStyle w:val="Bodytext32"/>
                <w:b/>
                <w:sz w:val="24"/>
                <w:szCs w:val="24"/>
              </w:rPr>
              <w:br/>
            </w:r>
            <w:r w:rsidR="00F70EAF" w:rsidRPr="00177A2C">
              <w:rPr>
                <w:rStyle w:val="Bodytext32"/>
                <w:b/>
                <w:sz w:val="24"/>
                <w:szCs w:val="24"/>
              </w:rPr>
              <w:t>(Milyar TL)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D375B5" w:rsidP="00177A2C">
            <w:pPr>
              <w:framePr w:w="8556" w:h="10113" w:hRule="exact" w:wrap="notBeside" w:vAnchor="text" w:hAnchor="page" w:x="1473" w:y="5"/>
              <w:spacing w:before="240" w:after="120" w:line="40" w:lineRule="atLeast"/>
              <w:jc w:val="center"/>
              <w:rPr>
                <w:b/>
              </w:rPr>
            </w:pPr>
            <w:r w:rsidRPr="00177A2C">
              <w:rPr>
                <w:rStyle w:val="Bodytext32"/>
                <w:b/>
                <w:sz w:val="24"/>
                <w:szCs w:val="24"/>
              </w:rPr>
              <w:t>Bütçeden Yapılan</w:t>
            </w:r>
            <w:r w:rsidRPr="00177A2C">
              <w:rPr>
                <w:rStyle w:val="Bodytext32"/>
                <w:b/>
                <w:sz w:val="24"/>
                <w:szCs w:val="24"/>
              </w:rPr>
              <w:br/>
              <w:t>Faiz Ödemeleri</w:t>
            </w:r>
            <w:r w:rsidRPr="00177A2C">
              <w:rPr>
                <w:rStyle w:val="Bodytext32"/>
                <w:b/>
                <w:sz w:val="24"/>
                <w:szCs w:val="24"/>
              </w:rPr>
              <w:br/>
            </w:r>
            <w:r w:rsidR="00F70EAF" w:rsidRPr="00177A2C">
              <w:rPr>
                <w:rStyle w:val="Bodytext32"/>
                <w:b/>
                <w:sz w:val="24"/>
                <w:szCs w:val="24"/>
              </w:rPr>
              <w:t>(Milyar TL)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177A2C" w:rsidP="00177A2C">
            <w:pPr>
              <w:framePr w:w="8556" w:h="10113" w:hRule="exact" w:wrap="notBeside" w:vAnchor="text" w:hAnchor="page" w:x="1473" w:y="5"/>
              <w:spacing w:before="120" w:after="120" w:line="40" w:lineRule="atLeast"/>
              <w:jc w:val="center"/>
              <w:rPr>
                <w:b/>
              </w:rPr>
            </w:pPr>
            <w:r w:rsidRPr="00177A2C">
              <w:rPr>
                <w:rStyle w:val="Bodytext32"/>
                <w:b/>
                <w:sz w:val="24"/>
                <w:szCs w:val="24"/>
              </w:rPr>
              <w:t>Bütçeden Yapılan</w:t>
            </w:r>
            <w:r w:rsidRPr="00177A2C">
              <w:rPr>
                <w:rStyle w:val="Bodytext32"/>
                <w:b/>
                <w:sz w:val="24"/>
                <w:szCs w:val="24"/>
              </w:rPr>
              <w:br/>
            </w:r>
            <w:r w:rsidR="00F70EAF" w:rsidRPr="00177A2C">
              <w:rPr>
                <w:rStyle w:val="Bodytext32"/>
                <w:b/>
                <w:sz w:val="24"/>
                <w:szCs w:val="24"/>
              </w:rPr>
              <w:t>Tarımsal Destek Ödemeleri (Milyar TL)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240" w:after="120" w:line="40" w:lineRule="atLeast"/>
              <w:jc w:val="center"/>
              <w:rPr>
                <w:b/>
              </w:rPr>
            </w:pPr>
            <w:r w:rsidRPr="00177A2C">
              <w:rPr>
                <w:rStyle w:val="Bodytext32"/>
                <w:b/>
                <w:sz w:val="24"/>
                <w:szCs w:val="24"/>
              </w:rPr>
              <w:t>Kamu Brüt</w:t>
            </w:r>
            <w:r w:rsidR="00177A2C" w:rsidRPr="00177A2C">
              <w:rPr>
                <w:rStyle w:val="Bodytext32"/>
                <w:b/>
                <w:sz w:val="24"/>
                <w:szCs w:val="24"/>
              </w:rPr>
              <w:br/>
              <w:t>Toplam Borç</w:t>
            </w:r>
            <w:r w:rsidR="00177A2C" w:rsidRPr="00177A2C">
              <w:rPr>
                <w:rStyle w:val="Bodytext32"/>
                <w:b/>
                <w:sz w:val="24"/>
                <w:szCs w:val="24"/>
              </w:rPr>
              <w:br/>
            </w:r>
            <w:r w:rsidRPr="00177A2C">
              <w:rPr>
                <w:rStyle w:val="Bodytext32"/>
                <w:b/>
                <w:sz w:val="24"/>
                <w:szCs w:val="24"/>
              </w:rPr>
              <w:t>Stoku</w:t>
            </w:r>
            <w:r w:rsidR="00177A2C" w:rsidRPr="00177A2C">
              <w:rPr>
                <w:rStyle w:val="Bodytext32"/>
                <w:b/>
                <w:sz w:val="24"/>
                <w:szCs w:val="24"/>
              </w:rPr>
              <w:br/>
            </w:r>
            <w:r w:rsidRPr="00177A2C">
              <w:rPr>
                <w:rStyle w:val="Bodytext32"/>
                <w:b/>
                <w:sz w:val="24"/>
                <w:szCs w:val="24"/>
              </w:rPr>
              <w:t>(Milyar TL)</w:t>
            </w:r>
          </w:p>
        </w:tc>
      </w:tr>
      <w:tr w:rsidR="00D375B5" w:rsidRPr="00D375B5" w:rsidTr="0080077D">
        <w:trPr>
          <w:trHeight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115.0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49.6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7C02A8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</w:t>
            </w:r>
            <w:r w:rsidR="00177A2C">
              <w:rPr>
                <w:rStyle w:val="Bodytext32"/>
                <w:sz w:val="24"/>
                <w:szCs w:val="24"/>
              </w:rPr>
              <w:t>.</w:t>
            </w:r>
            <w:r w:rsidR="007C02A8">
              <w:rPr>
                <w:rStyle w:val="Bodytext32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256.8</w:t>
            </w:r>
          </w:p>
        </w:tc>
      </w:tr>
      <w:tr w:rsidR="00D375B5" w:rsidRPr="00D375B5" w:rsidTr="0080077D">
        <w:trPr>
          <w:trHeight w:val="278"/>
          <w:jc w:val="center"/>
        </w:trPr>
        <w:tc>
          <w:tcPr>
            <w:tcW w:w="15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140.5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58.6</w:t>
            </w:r>
          </w:p>
        </w:tc>
        <w:tc>
          <w:tcPr>
            <w:tcW w:w="19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2.8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297.5</w:t>
            </w:r>
          </w:p>
        </w:tc>
      </w:tr>
      <w:tr w:rsidR="00D375B5" w:rsidRPr="00D375B5" w:rsidTr="00177A2C">
        <w:trPr>
          <w:trHeight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141.0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56.4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333</w:t>
            </w:r>
            <w:r w:rsidR="00177A2C">
              <w:rPr>
                <w:rStyle w:val="Bodytext32"/>
                <w:sz w:val="24"/>
                <w:szCs w:val="24"/>
              </w:rPr>
              <w:t>.</w:t>
            </w:r>
            <w:r w:rsidRPr="00177A2C">
              <w:rPr>
                <w:rStyle w:val="Bodytext32"/>
                <w:sz w:val="24"/>
                <w:szCs w:val="24"/>
              </w:rPr>
              <w:t>0</w:t>
            </w:r>
          </w:p>
        </w:tc>
      </w:tr>
      <w:tr w:rsidR="00D375B5" w:rsidRPr="00D375B5" w:rsidTr="00177A2C">
        <w:trPr>
          <w:trHeight w:val="26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146.1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45.6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351.2</w:t>
            </w:r>
          </w:p>
        </w:tc>
      </w:tr>
      <w:tr w:rsidR="00D375B5" w:rsidRPr="00D375B5" w:rsidTr="00177A2C">
        <w:trPr>
          <w:trHeight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178.1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46.0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365.6</w:t>
            </w:r>
          </w:p>
        </w:tc>
      </w:tr>
      <w:tr w:rsidR="00D375B5" w:rsidRPr="00D375B5" w:rsidTr="00177A2C">
        <w:trPr>
          <w:trHeight w:val="26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48.8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355.1</w:t>
            </w:r>
          </w:p>
        </w:tc>
      </w:tr>
      <w:tr w:rsidR="00D375B5" w:rsidRPr="00D375B5" w:rsidTr="00177A2C">
        <w:trPr>
          <w:trHeight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227.0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50.7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407.3</w:t>
            </w:r>
          </w:p>
        </w:tc>
      </w:tr>
      <w:tr w:rsidR="00D375B5" w:rsidRPr="00D375B5" w:rsidTr="00177A2C">
        <w:trPr>
          <w:trHeight w:val="26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268.2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53.2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464.8</w:t>
            </w:r>
          </w:p>
        </w:tc>
      </w:tr>
      <w:tr w:rsidR="00D375B5" w:rsidRPr="00D375B5" w:rsidTr="00177A2C">
        <w:trPr>
          <w:trHeight w:val="27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294.4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48.3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496.5</w:t>
            </w:r>
          </w:p>
        </w:tc>
      </w:tr>
      <w:tr w:rsidR="00D375B5" w:rsidRPr="00D375B5" w:rsidTr="00177A2C">
        <w:trPr>
          <w:trHeight w:val="27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314.6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42.2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546.1</w:t>
            </w:r>
          </w:p>
        </w:tc>
      </w:tr>
      <w:tr w:rsidR="00D375B5" w:rsidRPr="00D375B5" w:rsidTr="00177A2C">
        <w:trPr>
          <w:trHeight w:val="27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361.9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48.4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562.8</w:t>
            </w:r>
          </w:p>
        </w:tc>
      </w:tr>
      <w:tr w:rsidR="00D375B5" w:rsidRPr="00D375B5" w:rsidTr="00177A2C">
        <w:trPr>
          <w:trHeight w:val="27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408.2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50.0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622</w:t>
            </w:r>
            <w:r w:rsidR="007C02A8">
              <w:rPr>
                <w:rStyle w:val="Bodytext32"/>
                <w:sz w:val="24"/>
                <w:szCs w:val="24"/>
              </w:rPr>
              <w:t>.</w:t>
            </w:r>
            <w:r w:rsidRPr="00177A2C">
              <w:rPr>
                <w:rStyle w:val="Bodytext32"/>
                <w:sz w:val="24"/>
                <w:szCs w:val="24"/>
              </w:rPr>
              <w:t>9</w:t>
            </w:r>
          </w:p>
        </w:tc>
      </w:tr>
      <w:tr w:rsidR="00D375B5" w:rsidRPr="00D375B5" w:rsidTr="00177A2C">
        <w:trPr>
          <w:trHeight w:val="27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448.4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49.9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650.0</w:t>
            </w:r>
          </w:p>
        </w:tc>
      </w:tr>
      <w:tr w:rsidR="00D375B5" w:rsidRPr="00D375B5" w:rsidTr="00177A2C">
        <w:trPr>
          <w:trHeight w:val="27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506</w:t>
            </w:r>
            <w:r w:rsidR="007C02A8">
              <w:rPr>
                <w:rStyle w:val="Bodytext32"/>
                <w:sz w:val="24"/>
                <w:szCs w:val="24"/>
              </w:rPr>
              <w:t>.</w:t>
            </w:r>
            <w:r w:rsidRPr="00177A2C">
              <w:rPr>
                <w:rStyle w:val="Bodytext3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53.0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7C02A8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722</w:t>
            </w:r>
            <w:r w:rsidR="007C02A8">
              <w:rPr>
                <w:rStyle w:val="Bodytext32"/>
                <w:sz w:val="24"/>
                <w:szCs w:val="24"/>
              </w:rPr>
              <w:t>.</w:t>
            </w:r>
            <w:r w:rsidRPr="00177A2C">
              <w:rPr>
                <w:rStyle w:val="Bodytext32"/>
                <w:sz w:val="24"/>
                <w:szCs w:val="24"/>
              </w:rPr>
              <w:t>0</w:t>
            </w:r>
          </w:p>
        </w:tc>
      </w:tr>
      <w:tr w:rsidR="00D375B5" w:rsidRPr="00D375B5" w:rsidTr="00177A2C">
        <w:trPr>
          <w:trHeight w:val="27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583.7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50.2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11.5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7C02A8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819.</w:t>
            </w:r>
            <w:r w:rsidR="007C02A8">
              <w:rPr>
                <w:rStyle w:val="Bodytext32"/>
                <w:sz w:val="24"/>
                <w:szCs w:val="24"/>
              </w:rPr>
              <w:t>8</w:t>
            </w:r>
          </w:p>
        </w:tc>
      </w:tr>
      <w:tr w:rsidR="00D375B5" w:rsidRPr="00D375B5" w:rsidTr="00177A2C">
        <w:trPr>
          <w:trHeight w:val="32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52"/>
              <w:jc w:val="right"/>
              <w:rPr>
                <w:rFonts w:ascii="Trebuchet MS" w:hAnsi="Trebuchet MS"/>
              </w:rPr>
            </w:pPr>
            <w:r w:rsidRPr="00177A2C">
              <w:rPr>
                <w:rStyle w:val="Bodytext32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7C02A8">
            <w:pPr>
              <w:framePr w:w="8556" w:h="10113" w:hRule="exact" w:wrap="notBeside" w:vAnchor="text" w:hAnchor="page" w:x="1473" w:y="5"/>
              <w:spacing w:before="60" w:after="60"/>
              <w:ind w:right="451"/>
              <w:jc w:val="right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67</w:t>
            </w:r>
            <w:r w:rsidR="007C02A8">
              <w:rPr>
                <w:rFonts w:ascii="Trebuchet MS" w:hAnsi="Trebuchet MS"/>
              </w:rPr>
              <w:t>7</w:t>
            </w:r>
            <w:r w:rsidRPr="00177A2C">
              <w:rPr>
                <w:rFonts w:ascii="Trebuchet MS" w:hAnsi="Trebuchet MS"/>
              </w:rPr>
              <w:t>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56.7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12.7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60" w:after="60"/>
              <w:ind w:right="416"/>
              <w:jc w:val="right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954.5</w:t>
            </w:r>
          </w:p>
        </w:tc>
      </w:tr>
      <w:tr w:rsidR="00D375B5" w:rsidRPr="00D375B5" w:rsidTr="00177A2C">
        <w:trPr>
          <w:trHeight w:val="32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D375B5" w:rsidP="00177A2C">
            <w:pPr>
              <w:framePr w:w="8556" w:h="10113" w:hRule="exact" w:wrap="notBeside" w:vAnchor="text" w:hAnchor="page" w:x="1473" w:y="5"/>
              <w:spacing w:before="60" w:after="60"/>
              <w:ind w:left="120"/>
              <w:jc w:val="center"/>
              <w:rPr>
                <w:rStyle w:val="Bodytext32"/>
                <w:sz w:val="24"/>
                <w:szCs w:val="24"/>
              </w:rPr>
            </w:pPr>
            <w:r w:rsidRPr="00177A2C">
              <w:rPr>
                <w:rStyle w:val="Bodytext32"/>
                <w:sz w:val="24"/>
                <w:szCs w:val="24"/>
              </w:rPr>
              <w:t>Toplam</w:t>
            </w:r>
            <w:r w:rsidRPr="00177A2C">
              <w:rPr>
                <w:rStyle w:val="Bodytext32"/>
                <w:sz w:val="24"/>
                <w:szCs w:val="24"/>
              </w:rPr>
              <w:br/>
            </w:r>
            <w:r w:rsidR="00F70EAF" w:rsidRPr="00177A2C">
              <w:rPr>
                <w:rStyle w:val="Bodytext32"/>
                <w:sz w:val="24"/>
                <w:szCs w:val="24"/>
              </w:rPr>
              <w:t>(2003-2017)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120" w:after="60"/>
              <w:ind w:right="451"/>
              <w:jc w:val="right"/>
              <w:rPr>
                <w:rFonts w:ascii="Trebuchet MS" w:hAnsi="Trebuchet M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120" w:after="60"/>
              <w:ind w:right="593"/>
              <w:jc w:val="right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758.0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120" w:after="60"/>
              <w:ind w:right="699"/>
              <w:jc w:val="right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102.2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AF" w:rsidRPr="00177A2C" w:rsidRDefault="00F70EAF" w:rsidP="00177A2C">
            <w:pPr>
              <w:framePr w:w="8556" w:h="10113" w:hRule="exact" w:wrap="notBeside" w:vAnchor="text" w:hAnchor="page" w:x="1473" w:y="5"/>
              <w:spacing w:before="120" w:after="60"/>
              <w:ind w:right="-9"/>
              <w:jc w:val="center"/>
              <w:rPr>
                <w:rFonts w:ascii="Trebuchet MS" w:hAnsi="Trebuchet MS"/>
              </w:rPr>
            </w:pPr>
            <w:r w:rsidRPr="00177A2C">
              <w:rPr>
                <w:rFonts w:ascii="Trebuchet MS" w:hAnsi="Trebuchet MS"/>
              </w:rPr>
              <w:t>-</w:t>
            </w:r>
          </w:p>
        </w:tc>
      </w:tr>
    </w:tbl>
    <w:p w:rsidR="00177A2C" w:rsidRDefault="00177A2C" w:rsidP="00177A2C">
      <w:pPr>
        <w:framePr w:w="8556" w:h="10113" w:hRule="exact" w:wrap="notBeside" w:vAnchor="text" w:hAnchor="page" w:x="1473" w:y="5"/>
        <w:spacing w:line="170" w:lineRule="exact"/>
        <w:jc w:val="center"/>
        <w:rPr>
          <w:rStyle w:val="Tablecaption"/>
          <w:sz w:val="24"/>
          <w:szCs w:val="24"/>
        </w:rPr>
      </w:pPr>
    </w:p>
    <w:p w:rsidR="00F70EAF" w:rsidRPr="00D375B5" w:rsidRDefault="00F70EAF" w:rsidP="00177A2C">
      <w:pPr>
        <w:framePr w:w="8556" w:h="10113" w:hRule="exact" w:wrap="notBeside" w:vAnchor="text" w:hAnchor="page" w:x="1473" w:y="5"/>
        <w:spacing w:line="240" w:lineRule="exact"/>
      </w:pPr>
      <w:r w:rsidRPr="00D375B5">
        <w:rPr>
          <w:rStyle w:val="Tablecaption"/>
          <w:sz w:val="24"/>
          <w:szCs w:val="24"/>
        </w:rPr>
        <w:t>Kaynak: Maliye Bakanlığı,</w:t>
      </w:r>
      <w:hyperlink r:id="rId12" w:history="1">
        <w:r w:rsidRPr="00D375B5">
          <w:rPr>
            <w:rStyle w:val="Kpr"/>
          </w:rPr>
          <w:t xml:space="preserve"> </w:t>
        </w:r>
        <w:r w:rsidRPr="00D375B5">
          <w:rPr>
            <w:rStyle w:val="Kpr"/>
            <w:lang w:val="en-US"/>
          </w:rPr>
          <w:t>www.hazine.gov.tr</w:t>
        </w:r>
      </w:hyperlink>
    </w:p>
    <w:p w:rsidR="00F70EAF" w:rsidRPr="00D375B5" w:rsidRDefault="00F70EAF" w:rsidP="00F70EAF"/>
    <w:p w:rsidR="00F70EAF" w:rsidRDefault="00F70EAF" w:rsidP="00F70EAF"/>
    <w:p w:rsidR="00F70EAF" w:rsidRDefault="00F70EAF" w:rsidP="00F70EAF"/>
    <w:p w:rsidR="00F70EAF" w:rsidRDefault="00F70EAF" w:rsidP="00F70EAF"/>
    <w:p w:rsidR="00F70EAF" w:rsidRDefault="00F70EAF" w:rsidP="00F70EAF"/>
    <w:p w:rsidR="00F70EAF" w:rsidRDefault="00F70EAF" w:rsidP="00094237">
      <w:pPr>
        <w:pStyle w:val="Bodytext0"/>
        <w:shd w:val="clear" w:color="auto" w:fill="auto"/>
        <w:tabs>
          <w:tab w:val="left" w:pos="284"/>
          <w:tab w:val="left" w:pos="993"/>
        </w:tabs>
        <w:spacing w:before="0" w:after="184" w:line="24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70EAF" w:rsidSect="0090748D">
      <w:footerReference w:type="default" r:id="rId13"/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8A" w:rsidRDefault="001D718A" w:rsidP="000D569A">
      <w:r>
        <w:separator/>
      </w:r>
    </w:p>
  </w:endnote>
  <w:endnote w:type="continuationSeparator" w:id="1">
    <w:p w:rsidR="001D718A" w:rsidRDefault="001D718A" w:rsidP="000D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9627"/>
      <w:docPartObj>
        <w:docPartGallery w:val="Page Numbers (Bottom of Page)"/>
        <w:docPartUnique/>
      </w:docPartObj>
    </w:sdtPr>
    <w:sdtContent>
      <w:p w:rsidR="00CB44A6" w:rsidRDefault="00DD68A6">
        <w:pPr>
          <w:pStyle w:val="Altbilgi"/>
          <w:jc w:val="right"/>
        </w:pPr>
        <w:fldSimple w:instr=" PAGE   \* MERGEFORMAT ">
          <w:r w:rsidR="00FA2123">
            <w:rPr>
              <w:noProof/>
            </w:rPr>
            <w:t>13</w:t>
          </w:r>
        </w:fldSimple>
      </w:p>
    </w:sdtContent>
  </w:sdt>
  <w:p w:rsidR="00CB44A6" w:rsidRDefault="00CB44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8A" w:rsidRDefault="001D718A" w:rsidP="000D569A">
      <w:r>
        <w:separator/>
      </w:r>
    </w:p>
  </w:footnote>
  <w:footnote w:type="continuationSeparator" w:id="1">
    <w:p w:rsidR="001D718A" w:rsidRDefault="001D718A" w:rsidP="000D5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074"/>
    <w:multiLevelType w:val="hybridMultilevel"/>
    <w:tmpl w:val="3704EE70"/>
    <w:lvl w:ilvl="0" w:tplc="438A8B8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925C4D"/>
    <w:multiLevelType w:val="hybridMultilevel"/>
    <w:tmpl w:val="247CEC8E"/>
    <w:lvl w:ilvl="0" w:tplc="040E002E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F44BB"/>
    <w:multiLevelType w:val="hybridMultilevel"/>
    <w:tmpl w:val="5C4C5206"/>
    <w:lvl w:ilvl="0" w:tplc="C13CBF74">
      <w:start w:val="1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A8362C2"/>
    <w:multiLevelType w:val="hybridMultilevel"/>
    <w:tmpl w:val="ADAC1A16"/>
    <w:lvl w:ilvl="0" w:tplc="28D601A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F72B4"/>
    <w:multiLevelType w:val="hybridMultilevel"/>
    <w:tmpl w:val="ADAC1A16"/>
    <w:lvl w:ilvl="0" w:tplc="28D601A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B73140"/>
    <w:multiLevelType w:val="multilevel"/>
    <w:tmpl w:val="97A65DB6"/>
    <w:lvl w:ilvl="0">
      <w:start w:val="1"/>
      <w:numFmt w:val="decimal"/>
      <w:lvlText w:val="%1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23F0E"/>
    <w:multiLevelType w:val="hybridMultilevel"/>
    <w:tmpl w:val="E578E268"/>
    <w:lvl w:ilvl="0" w:tplc="50C4D0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BF04C26"/>
    <w:multiLevelType w:val="hybridMultilevel"/>
    <w:tmpl w:val="620E3890"/>
    <w:lvl w:ilvl="0" w:tplc="588A0D3E">
      <w:start w:val="580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48262B"/>
    <w:multiLevelType w:val="multilevel"/>
    <w:tmpl w:val="F0B29E36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05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901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76" w:hanging="1800"/>
      </w:pPr>
      <w:rPr>
        <w:rFonts w:hint="default"/>
      </w:rPr>
    </w:lvl>
  </w:abstractNum>
  <w:abstractNum w:abstractNumId="9">
    <w:nsid w:val="7FF826C7"/>
    <w:multiLevelType w:val="hybridMultilevel"/>
    <w:tmpl w:val="069CD294"/>
    <w:lvl w:ilvl="0" w:tplc="C3982000">
      <w:start w:val="1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/>
  <w:rsids>
    <w:rsidRoot w:val="00016894"/>
    <w:rsid w:val="00001376"/>
    <w:rsid w:val="00007B15"/>
    <w:rsid w:val="0001263D"/>
    <w:rsid w:val="00016433"/>
    <w:rsid w:val="00016894"/>
    <w:rsid w:val="00020705"/>
    <w:rsid w:val="00022E10"/>
    <w:rsid w:val="00022F00"/>
    <w:rsid w:val="00023206"/>
    <w:rsid w:val="00031C3A"/>
    <w:rsid w:val="00031F11"/>
    <w:rsid w:val="00033B8E"/>
    <w:rsid w:val="000350DB"/>
    <w:rsid w:val="000359B0"/>
    <w:rsid w:val="00035FCD"/>
    <w:rsid w:val="00036238"/>
    <w:rsid w:val="00036FC8"/>
    <w:rsid w:val="0004267F"/>
    <w:rsid w:val="00042777"/>
    <w:rsid w:val="0004727A"/>
    <w:rsid w:val="00047DE8"/>
    <w:rsid w:val="00050A4A"/>
    <w:rsid w:val="0005257E"/>
    <w:rsid w:val="0005525C"/>
    <w:rsid w:val="00056DCD"/>
    <w:rsid w:val="000579BE"/>
    <w:rsid w:val="00065CD5"/>
    <w:rsid w:val="00067163"/>
    <w:rsid w:val="0007154C"/>
    <w:rsid w:val="00072357"/>
    <w:rsid w:val="00076274"/>
    <w:rsid w:val="0008452B"/>
    <w:rsid w:val="0008542E"/>
    <w:rsid w:val="000862DC"/>
    <w:rsid w:val="00086C19"/>
    <w:rsid w:val="00087FD4"/>
    <w:rsid w:val="000934B5"/>
    <w:rsid w:val="00094237"/>
    <w:rsid w:val="00095317"/>
    <w:rsid w:val="00096FA2"/>
    <w:rsid w:val="000A12E2"/>
    <w:rsid w:val="000A59F2"/>
    <w:rsid w:val="000A6030"/>
    <w:rsid w:val="000A7D77"/>
    <w:rsid w:val="000B2B13"/>
    <w:rsid w:val="000B3EDD"/>
    <w:rsid w:val="000B784F"/>
    <w:rsid w:val="000C0A5C"/>
    <w:rsid w:val="000C17C5"/>
    <w:rsid w:val="000C1C95"/>
    <w:rsid w:val="000C4893"/>
    <w:rsid w:val="000C5165"/>
    <w:rsid w:val="000D222D"/>
    <w:rsid w:val="000D2E0B"/>
    <w:rsid w:val="000D3C35"/>
    <w:rsid w:val="000D42BA"/>
    <w:rsid w:val="000D4ED8"/>
    <w:rsid w:val="000D50AD"/>
    <w:rsid w:val="000D569A"/>
    <w:rsid w:val="000D5966"/>
    <w:rsid w:val="000E1192"/>
    <w:rsid w:val="000E1BD5"/>
    <w:rsid w:val="000E202E"/>
    <w:rsid w:val="000E468A"/>
    <w:rsid w:val="000E5261"/>
    <w:rsid w:val="000E70E8"/>
    <w:rsid w:val="000E764A"/>
    <w:rsid w:val="000F0D67"/>
    <w:rsid w:val="000F185C"/>
    <w:rsid w:val="000F1D5B"/>
    <w:rsid w:val="000F69FA"/>
    <w:rsid w:val="00100298"/>
    <w:rsid w:val="0010077C"/>
    <w:rsid w:val="00102133"/>
    <w:rsid w:val="001033A1"/>
    <w:rsid w:val="00103F53"/>
    <w:rsid w:val="001048AE"/>
    <w:rsid w:val="00105FA8"/>
    <w:rsid w:val="00111EC7"/>
    <w:rsid w:val="00112035"/>
    <w:rsid w:val="00113E5E"/>
    <w:rsid w:val="00114449"/>
    <w:rsid w:val="0012122F"/>
    <w:rsid w:val="00123189"/>
    <w:rsid w:val="0012416B"/>
    <w:rsid w:val="00136D76"/>
    <w:rsid w:val="00140177"/>
    <w:rsid w:val="00140A2A"/>
    <w:rsid w:val="00140E94"/>
    <w:rsid w:val="001414A0"/>
    <w:rsid w:val="00141CA5"/>
    <w:rsid w:val="00142332"/>
    <w:rsid w:val="0014684A"/>
    <w:rsid w:val="00146CF2"/>
    <w:rsid w:val="001474D7"/>
    <w:rsid w:val="00151CB2"/>
    <w:rsid w:val="00152AB1"/>
    <w:rsid w:val="00156BBC"/>
    <w:rsid w:val="00156FCB"/>
    <w:rsid w:val="001639B8"/>
    <w:rsid w:val="0016415A"/>
    <w:rsid w:val="001649D6"/>
    <w:rsid w:val="00165944"/>
    <w:rsid w:val="0016670B"/>
    <w:rsid w:val="00166AF7"/>
    <w:rsid w:val="0017014C"/>
    <w:rsid w:val="00170C9B"/>
    <w:rsid w:val="00170D88"/>
    <w:rsid w:val="00171AC7"/>
    <w:rsid w:val="00172F30"/>
    <w:rsid w:val="001734FD"/>
    <w:rsid w:val="00173FE7"/>
    <w:rsid w:val="00175AC5"/>
    <w:rsid w:val="0017629A"/>
    <w:rsid w:val="001779F3"/>
    <w:rsid w:val="00177A2C"/>
    <w:rsid w:val="00177C92"/>
    <w:rsid w:val="001806F1"/>
    <w:rsid w:val="0018170A"/>
    <w:rsid w:val="00184E16"/>
    <w:rsid w:val="001852EB"/>
    <w:rsid w:val="00186062"/>
    <w:rsid w:val="0018628F"/>
    <w:rsid w:val="00191781"/>
    <w:rsid w:val="00193FC5"/>
    <w:rsid w:val="00195489"/>
    <w:rsid w:val="0019791F"/>
    <w:rsid w:val="00197FDE"/>
    <w:rsid w:val="001A0A3B"/>
    <w:rsid w:val="001A35B0"/>
    <w:rsid w:val="001A69A3"/>
    <w:rsid w:val="001A7B86"/>
    <w:rsid w:val="001B166E"/>
    <w:rsid w:val="001B51EC"/>
    <w:rsid w:val="001B5ADC"/>
    <w:rsid w:val="001C0786"/>
    <w:rsid w:val="001C3F33"/>
    <w:rsid w:val="001C612B"/>
    <w:rsid w:val="001C6DF9"/>
    <w:rsid w:val="001C7AB9"/>
    <w:rsid w:val="001D33CD"/>
    <w:rsid w:val="001D37FF"/>
    <w:rsid w:val="001D538B"/>
    <w:rsid w:val="001D59E0"/>
    <w:rsid w:val="001D5F21"/>
    <w:rsid w:val="001D68AF"/>
    <w:rsid w:val="001D718A"/>
    <w:rsid w:val="001D7475"/>
    <w:rsid w:val="001E0ADC"/>
    <w:rsid w:val="001E2CAE"/>
    <w:rsid w:val="001E31BD"/>
    <w:rsid w:val="001E4D81"/>
    <w:rsid w:val="001F0272"/>
    <w:rsid w:val="001F0ACA"/>
    <w:rsid w:val="001F1C7B"/>
    <w:rsid w:val="001F42A8"/>
    <w:rsid w:val="001F52EB"/>
    <w:rsid w:val="001F7F74"/>
    <w:rsid w:val="0020237D"/>
    <w:rsid w:val="00203920"/>
    <w:rsid w:val="0020519F"/>
    <w:rsid w:val="00206CFF"/>
    <w:rsid w:val="00210FFC"/>
    <w:rsid w:val="00213C30"/>
    <w:rsid w:val="0021644F"/>
    <w:rsid w:val="002178E2"/>
    <w:rsid w:val="00217977"/>
    <w:rsid w:val="00220A32"/>
    <w:rsid w:val="00222044"/>
    <w:rsid w:val="00222430"/>
    <w:rsid w:val="00222ED3"/>
    <w:rsid w:val="00223928"/>
    <w:rsid w:val="00231966"/>
    <w:rsid w:val="002324C3"/>
    <w:rsid w:val="00233AB0"/>
    <w:rsid w:val="00234324"/>
    <w:rsid w:val="002359E0"/>
    <w:rsid w:val="00235DD2"/>
    <w:rsid w:val="00235F0C"/>
    <w:rsid w:val="00240B5B"/>
    <w:rsid w:val="00242739"/>
    <w:rsid w:val="00242D63"/>
    <w:rsid w:val="00247AFB"/>
    <w:rsid w:val="0025100C"/>
    <w:rsid w:val="00251BE5"/>
    <w:rsid w:val="00251F9C"/>
    <w:rsid w:val="002539CC"/>
    <w:rsid w:val="00256C0E"/>
    <w:rsid w:val="00257C1D"/>
    <w:rsid w:val="00257E8D"/>
    <w:rsid w:val="00260DEE"/>
    <w:rsid w:val="0026253F"/>
    <w:rsid w:val="00264D6A"/>
    <w:rsid w:val="00266E37"/>
    <w:rsid w:val="00267154"/>
    <w:rsid w:val="00267F13"/>
    <w:rsid w:val="00270847"/>
    <w:rsid w:val="00270CD2"/>
    <w:rsid w:val="002742FD"/>
    <w:rsid w:val="002746A7"/>
    <w:rsid w:val="00274A36"/>
    <w:rsid w:val="0027675F"/>
    <w:rsid w:val="0028061E"/>
    <w:rsid w:val="0028295C"/>
    <w:rsid w:val="00284182"/>
    <w:rsid w:val="00285081"/>
    <w:rsid w:val="002869A5"/>
    <w:rsid w:val="00290CA5"/>
    <w:rsid w:val="00292D5D"/>
    <w:rsid w:val="00294157"/>
    <w:rsid w:val="002A00F8"/>
    <w:rsid w:val="002A1828"/>
    <w:rsid w:val="002A3F59"/>
    <w:rsid w:val="002A5823"/>
    <w:rsid w:val="002A67DF"/>
    <w:rsid w:val="002B27BE"/>
    <w:rsid w:val="002B37D8"/>
    <w:rsid w:val="002B4E8D"/>
    <w:rsid w:val="002B5711"/>
    <w:rsid w:val="002B7988"/>
    <w:rsid w:val="002C2FFF"/>
    <w:rsid w:val="002C51A7"/>
    <w:rsid w:val="002D2AC4"/>
    <w:rsid w:val="002D6852"/>
    <w:rsid w:val="002D772F"/>
    <w:rsid w:val="002E00F4"/>
    <w:rsid w:val="002E045C"/>
    <w:rsid w:val="002E1060"/>
    <w:rsid w:val="002E2502"/>
    <w:rsid w:val="002E3B45"/>
    <w:rsid w:val="002E66C9"/>
    <w:rsid w:val="002E6F21"/>
    <w:rsid w:val="002E792E"/>
    <w:rsid w:val="002F10D3"/>
    <w:rsid w:val="002F12EB"/>
    <w:rsid w:val="002F2BA3"/>
    <w:rsid w:val="002F2C3A"/>
    <w:rsid w:val="002F3F5E"/>
    <w:rsid w:val="002F3F88"/>
    <w:rsid w:val="002F48EE"/>
    <w:rsid w:val="002F4A5A"/>
    <w:rsid w:val="002F65D8"/>
    <w:rsid w:val="002F6B64"/>
    <w:rsid w:val="00300EE7"/>
    <w:rsid w:val="0030297B"/>
    <w:rsid w:val="003044A4"/>
    <w:rsid w:val="00310B58"/>
    <w:rsid w:val="00312A1C"/>
    <w:rsid w:val="003130AB"/>
    <w:rsid w:val="003147FD"/>
    <w:rsid w:val="0031480A"/>
    <w:rsid w:val="00315C9D"/>
    <w:rsid w:val="00317D84"/>
    <w:rsid w:val="003242FB"/>
    <w:rsid w:val="0032482C"/>
    <w:rsid w:val="00325F35"/>
    <w:rsid w:val="003311AC"/>
    <w:rsid w:val="003315E1"/>
    <w:rsid w:val="003320C2"/>
    <w:rsid w:val="00341D40"/>
    <w:rsid w:val="00351815"/>
    <w:rsid w:val="00352C21"/>
    <w:rsid w:val="00354AA2"/>
    <w:rsid w:val="00357054"/>
    <w:rsid w:val="00357892"/>
    <w:rsid w:val="00360E25"/>
    <w:rsid w:val="00363028"/>
    <w:rsid w:val="0036531B"/>
    <w:rsid w:val="00367D39"/>
    <w:rsid w:val="003703BB"/>
    <w:rsid w:val="00370693"/>
    <w:rsid w:val="003726FC"/>
    <w:rsid w:val="00374780"/>
    <w:rsid w:val="00377D8E"/>
    <w:rsid w:val="003863CF"/>
    <w:rsid w:val="00390483"/>
    <w:rsid w:val="00396991"/>
    <w:rsid w:val="00397229"/>
    <w:rsid w:val="003A02C9"/>
    <w:rsid w:val="003A68F1"/>
    <w:rsid w:val="003A69CF"/>
    <w:rsid w:val="003B0306"/>
    <w:rsid w:val="003B5750"/>
    <w:rsid w:val="003B7371"/>
    <w:rsid w:val="003B76DD"/>
    <w:rsid w:val="003C1216"/>
    <w:rsid w:val="003C54CD"/>
    <w:rsid w:val="003C5B6E"/>
    <w:rsid w:val="003C6231"/>
    <w:rsid w:val="003C6DF2"/>
    <w:rsid w:val="003E29B2"/>
    <w:rsid w:val="003E7964"/>
    <w:rsid w:val="003F08A9"/>
    <w:rsid w:val="003F1F38"/>
    <w:rsid w:val="003F3F76"/>
    <w:rsid w:val="003F4165"/>
    <w:rsid w:val="004011E1"/>
    <w:rsid w:val="004013ED"/>
    <w:rsid w:val="004014D4"/>
    <w:rsid w:val="00401783"/>
    <w:rsid w:val="004076BD"/>
    <w:rsid w:val="00411391"/>
    <w:rsid w:val="00413740"/>
    <w:rsid w:val="0041590F"/>
    <w:rsid w:val="00415C65"/>
    <w:rsid w:val="00415DE6"/>
    <w:rsid w:val="0041708E"/>
    <w:rsid w:val="00417E3A"/>
    <w:rsid w:val="0042258B"/>
    <w:rsid w:val="00423AF1"/>
    <w:rsid w:val="0042573A"/>
    <w:rsid w:val="00427FEE"/>
    <w:rsid w:val="00432223"/>
    <w:rsid w:val="00441723"/>
    <w:rsid w:val="00444102"/>
    <w:rsid w:val="00445B73"/>
    <w:rsid w:val="00467B87"/>
    <w:rsid w:val="00471E3A"/>
    <w:rsid w:val="004760AE"/>
    <w:rsid w:val="0047687F"/>
    <w:rsid w:val="00480AEA"/>
    <w:rsid w:val="00480B4F"/>
    <w:rsid w:val="00482E7B"/>
    <w:rsid w:val="00482FF2"/>
    <w:rsid w:val="00483357"/>
    <w:rsid w:val="00491265"/>
    <w:rsid w:val="00495583"/>
    <w:rsid w:val="004A12AF"/>
    <w:rsid w:val="004A1EA3"/>
    <w:rsid w:val="004A2169"/>
    <w:rsid w:val="004A28B0"/>
    <w:rsid w:val="004A32F1"/>
    <w:rsid w:val="004A3E90"/>
    <w:rsid w:val="004A6429"/>
    <w:rsid w:val="004A7111"/>
    <w:rsid w:val="004B24C3"/>
    <w:rsid w:val="004B37AB"/>
    <w:rsid w:val="004B4CD8"/>
    <w:rsid w:val="004B4D6A"/>
    <w:rsid w:val="004B5F20"/>
    <w:rsid w:val="004B68ED"/>
    <w:rsid w:val="004C358D"/>
    <w:rsid w:val="004C5305"/>
    <w:rsid w:val="004C5B2B"/>
    <w:rsid w:val="004C7225"/>
    <w:rsid w:val="004D09E8"/>
    <w:rsid w:val="004D20E5"/>
    <w:rsid w:val="004D2E25"/>
    <w:rsid w:val="004D301F"/>
    <w:rsid w:val="004D3231"/>
    <w:rsid w:val="004D3805"/>
    <w:rsid w:val="004D6EA2"/>
    <w:rsid w:val="004D7DD7"/>
    <w:rsid w:val="004E32DC"/>
    <w:rsid w:val="004F0FF4"/>
    <w:rsid w:val="004F1788"/>
    <w:rsid w:val="004F1F58"/>
    <w:rsid w:val="004F40A1"/>
    <w:rsid w:val="004F5DB1"/>
    <w:rsid w:val="00500D4C"/>
    <w:rsid w:val="00500FF9"/>
    <w:rsid w:val="00503614"/>
    <w:rsid w:val="00503C1A"/>
    <w:rsid w:val="00505E38"/>
    <w:rsid w:val="00510A78"/>
    <w:rsid w:val="00512D7F"/>
    <w:rsid w:val="00513384"/>
    <w:rsid w:val="00513535"/>
    <w:rsid w:val="00513C97"/>
    <w:rsid w:val="0051796F"/>
    <w:rsid w:val="00517CD1"/>
    <w:rsid w:val="00521D6A"/>
    <w:rsid w:val="0052575C"/>
    <w:rsid w:val="00527282"/>
    <w:rsid w:val="005314AB"/>
    <w:rsid w:val="005317B4"/>
    <w:rsid w:val="00534D7D"/>
    <w:rsid w:val="00537ABD"/>
    <w:rsid w:val="005458C6"/>
    <w:rsid w:val="00546A8C"/>
    <w:rsid w:val="005474C8"/>
    <w:rsid w:val="00551F1A"/>
    <w:rsid w:val="00552E0C"/>
    <w:rsid w:val="00554ECC"/>
    <w:rsid w:val="00555786"/>
    <w:rsid w:val="00555CF8"/>
    <w:rsid w:val="00556047"/>
    <w:rsid w:val="0055680A"/>
    <w:rsid w:val="00561230"/>
    <w:rsid w:val="00561D0C"/>
    <w:rsid w:val="00562596"/>
    <w:rsid w:val="00564A0C"/>
    <w:rsid w:val="00564F4D"/>
    <w:rsid w:val="0056693F"/>
    <w:rsid w:val="005732C8"/>
    <w:rsid w:val="005733E8"/>
    <w:rsid w:val="00574A33"/>
    <w:rsid w:val="00587FBF"/>
    <w:rsid w:val="00590830"/>
    <w:rsid w:val="00590B02"/>
    <w:rsid w:val="005913D1"/>
    <w:rsid w:val="00592798"/>
    <w:rsid w:val="00593D55"/>
    <w:rsid w:val="005945DC"/>
    <w:rsid w:val="0059776A"/>
    <w:rsid w:val="005A2DD9"/>
    <w:rsid w:val="005A2F6B"/>
    <w:rsid w:val="005A3407"/>
    <w:rsid w:val="005A7602"/>
    <w:rsid w:val="005B19D5"/>
    <w:rsid w:val="005B23CE"/>
    <w:rsid w:val="005C01DE"/>
    <w:rsid w:val="005C3479"/>
    <w:rsid w:val="005C452E"/>
    <w:rsid w:val="005C767C"/>
    <w:rsid w:val="005D305A"/>
    <w:rsid w:val="005D3972"/>
    <w:rsid w:val="005D568E"/>
    <w:rsid w:val="005D72AB"/>
    <w:rsid w:val="005E012C"/>
    <w:rsid w:val="005E12D6"/>
    <w:rsid w:val="005E34DF"/>
    <w:rsid w:val="005E4656"/>
    <w:rsid w:val="005E4ADA"/>
    <w:rsid w:val="005E4C07"/>
    <w:rsid w:val="005E5602"/>
    <w:rsid w:val="005E592F"/>
    <w:rsid w:val="005E5FD3"/>
    <w:rsid w:val="005F4493"/>
    <w:rsid w:val="005F5173"/>
    <w:rsid w:val="00610F3E"/>
    <w:rsid w:val="00613293"/>
    <w:rsid w:val="00617872"/>
    <w:rsid w:val="006244AF"/>
    <w:rsid w:val="0062720A"/>
    <w:rsid w:val="0063486C"/>
    <w:rsid w:val="00635033"/>
    <w:rsid w:val="006420AA"/>
    <w:rsid w:val="00643E95"/>
    <w:rsid w:val="006520E5"/>
    <w:rsid w:val="0065660C"/>
    <w:rsid w:val="00656812"/>
    <w:rsid w:val="00661920"/>
    <w:rsid w:val="0066301F"/>
    <w:rsid w:val="00670552"/>
    <w:rsid w:val="00673E43"/>
    <w:rsid w:val="00674F93"/>
    <w:rsid w:val="00676FFE"/>
    <w:rsid w:val="006829FB"/>
    <w:rsid w:val="0068308B"/>
    <w:rsid w:val="0068425F"/>
    <w:rsid w:val="006858BF"/>
    <w:rsid w:val="00686561"/>
    <w:rsid w:val="006868D6"/>
    <w:rsid w:val="006901A5"/>
    <w:rsid w:val="00691ACE"/>
    <w:rsid w:val="00691B66"/>
    <w:rsid w:val="00691CD4"/>
    <w:rsid w:val="00691DF5"/>
    <w:rsid w:val="006923A2"/>
    <w:rsid w:val="00692D68"/>
    <w:rsid w:val="006953E8"/>
    <w:rsid w:val="006A3F78"/>
    <w:rsid w:val="006A49F6"/>
    <w:rsid w:val="006A5194"/>
    <w:rsid w:val="006B12E7"/>
    <w:rsid w:val="006C085E"/>
    <w:rsid w:val="006C2316"/>
    <w:rsid w:val="006C2B55"/>
    <w:rsid w:val="006C4351"/>
    <w:rsid w:val="006C4459"/>
    <w:rsid w:val="006C44D4"/>
    <w:rsid w:val="006C54C6"/>
    <w:rsid w:val="006C561D"/>
    <w:rsid w:val="006C621E"/>
    <w:rsid w:val="006D6867"/>
    <w:rsid w:val="006D751F"/>
    <w:rsid w:val="006E118B"/>
    <w:rsid w:val="006E2937"/>
    <w:rsid w:val="006E2E87"/>
    <w:rsid w:val="006E3006"/>
    <w:rsid w:val="006E78F8"/>
    <w:rsid w:val="006E7EBD"/>
    <w:rsid w:val="006F01C3"/>
    <w:rsid w:val="006F2639"/>
    <w:rsid w:val="006F3178"/>
    <w:rsid w:val="006F3E0A"/>
    <w:rsid w:val="006F3FA4"/>
    <w:rsid w:val="006F5C4F"/>
    <w:rsid w:val="00700B77"/>
    <w:rsid w:val="00701296"/>
    <w:rsid w:val="00705ACF"/>
    <w:rsid w:val="007071DC"/>
    <w:rsid w:val="00716DDA"/>
    <w:rsid w:val="00717F43"/>
    <w:rsid w:val="0072197F"/>
    <w:rsid w:val="00723EAB"/>
    <w:rsid w:val="00724D14"/>
    <w:rsid w:val="00725028"/>
    <w:rsid w:val="0072592D"/>
    <w:rsid w:val="00730048"/>
    <w:rsid w:val="0073023F"/>
    <w:rsid w:val="00732C3F"/>
    <w:rsid w:val="00733931"/>
    <w:rsid w:val="00733AC6"/>
    <w:rsid w:val="00734007"/>
    <w:rsid w:val="00734E47"/>
    <w:rsid w:val="007350F7"/>
    <w:rsid w:val="0073757E"/>
    <w:rsid w:val="007430CC"/>
    <w:rsid w:val="00744503"/>
    <w:rsid w:val="00744639"/>
    <w:rsid w:val="0075018A"/>
    <w:rsid w:val="007508AD"/>
    <w:rsid w:val="00756611"/>
    <w:rsid w:val="00757918"/>
    <w:rsid w:val="007606C1"/>
    <w:rsid w:val="00760EF2"/>
    <w:rsid w:val="0076178D"/>
    <w:rsid w:val="007618FE"/>
    <w:rsid w:val="0076310A"/>
    <w:rsid w:val="00764347"/>
    <w:rsid w:val="00766215"/>
    <w:rsid w:val="00767DE0"/>
    <w:rsid w:val="00776C66"/>
    <w:rsid w:val="00781CF3"/>
    <w:rsid w:val="0078208A"/>
    <w:rsid w:val="00783241"/>
    <w:rsid w:val="007843E6"/>
    <w:rsid w:val="007861FA"/>
    <w:rsid w:val="00786B58"/>
    <w:rsid w:val="00791D3F"/>
    <w:rsid w:val="00792334"/>
    <w:rsid w:val="0079274A"/>
    <w:rsid w:val="00792A11"/>
    <w:rsid w:val="00794839"/>
    <w:rsid w:val="00795358"/>
    <w:rsid w:val="007959B2"/>
    <w:rsid w:val="00796A86"/>
    <w:rsid w:val="007A1885"/>
    <w:rsid w:val="007A2661"/>
    <w:rsid w:val="007A3AF5"/>
    <w:rsid w:val="007A6586"/>
    <w:rsid w:val="007A6FFB"/>
    <w:rsid w:val="007A74A6"/>
    <w:rsid w:val="007A79A9"/>
    <w:rsid w:val="007B026A"/>
    <w:rsid w:val="007B2C46"/>
    <w:rsid w:val="007B3223"/>
    <w:rsid w:val="007B400D"/>
    <w:rsid w:val="007C02A8"/>
    <w:rsid w:val="007C0BD4"/>
    <w:rsid w:val="007C10DE"/>
    <w:rsid w:val="007C1964"/>
    <w:rsid w:val="007C1B32"/>
    <w:rsid w:val="007C2CD5"/>
    <w:rsid w:val="007C5C3F"/>
    <w:rsid w:val="007C6C26"/>
    <w:rsid w:val="007D0613"/>
    <w:rsid w:val="007D370D"/>
    <w:rsid w:val="007D3AC3"/>
    <w:rsid w:val="007D3CDE"/>
    <w:rsid w:val="007D7848"/>
    <w:rsid w:val="007E17CF"/>
    <w:rsid w:val="007E40E7"/>
    <w:rsid w:val="007E6640"/>
    <w:rsid w:val="007F01B2"/>
    <w:rsid w:val="007F1A28"/>
    <w:rsid w:val="007F2A40"/>
    <w:rsid w:val="007F2C19"/>
    <w:rsid w:val="007F2D6B"/>
    <w:rsid w:val="007F4C55"/>
    <w:rsid w:val="007F64F8"/>
    <w:rsid w:val="00800558"/>
    <w:rsid w:val="0080077D"/>
    <w:rsid w:val="00801950"/>
    <w:rsid w:val="008020C5"/>
    <w:rsid w:val="00802972"/>
    <w:rsid w:val="00803883"/>
    <w:rsid w:val="00803A28"/>
    <w:rsid w:val="00803E1A"/>
    <w:rsid w:val="00810513"/>
    <w:rsid w:val="0081067B"/>
    <w:rsid w:val="008121FE"/>
    <w:rsid w:val="00812AE0"/>
    <w:rsid w:val="008132DD"/>
    <w:rsid w:val="00813DE1"/>
    <w:rsid w:val="00815D66"/>
    <w:rsid w:val="008178FE"/>
    <w:rsid w:val="00817DEA"/>
    <w:rsid w:val="00821107"/>
    <w:rsid w:val="00822B46"/>
    <w:rsid w:val="00823963"/>
    <w:rsid w:val="00823B9A"/>
    <w:rsid w:val="00825084"/>
    <w:rsid w:val="00830777"/>
    <w:rsid w:val="00831EE0"/>
    <w:rsid w:val="00834009"/>
    <w:rsid w:val="00845C39"/>
    <w:rsid w:val="0084654E"/>
    <w:rsid w:val="008465F9"/>
    <w:rsid w:val="00851EF6"/>
    <w:rsid w:val="00852084"/>
    <w:rsid w:val="0085421A"/>
    <w:rsid w:val="008550E9"/>
    <w:rsid w:val="00855E81"/>
    <w:rsid w:val="00855FA4"/>
    <w:rsid w:val="008645B7"/>
    <w:rsid w:val="008711A5"/>
    <w:rsid w:val="00871C25"/>
    <w:rsid w:val="00871D86"/>
    <w:rsid w:val="00876A79"/>
    <w:rsid w:val="00882892"/>
    <w:rsid w:val="00882A48"/>
    <w:rsid w:val="00883E31"/>
    <w:rsid w:val="00892071"/>
    <w:rsid w:val="008922A5"/>
    <w:rsid w:val="00894EF1"/>
    <w:rsid w:val="00895DCF"/>
    <w:rsid w:val="00896671"/>
    <w:rsid w:val="00896DEE"/>
    <w:rsid w:val="00897635"/>
    <w:rsid w:val="00897966"/>
    <w:rsid w:val="008A2DE2"/>
    <w:rsid w:val="008A36D8"/>
    <w:rsid w:val="008A5522"/>
    <w:rsid w:val="008A5CAF"/>
    <w:rsid w:val="008A62BE"/>
    <w:rsid w:val="008B0619"/>
    <w:rsid w:val="008B7A40"/>
    <w:rsid w:val="008C14EA"/>
    <w:rsid w:val="008C5011"/>
    <w:rsid w:val="008C5C37"/>
    <w:rsid w:val="008C782C"/>
    <w:rsid w:val="008D1643"/>
    <w:rsid w:val="008D23EF"/>
    <w:rsid w:val="008D3C24"/>
    <w:rsid w:val="008D4A64"/>
    <w:rsid w:val="008E1851"/>
    <w:rsid w:val="008E421E"/>
    <w:rsid w:val="008E42D9"/>
    <w:rsid w:val="008E504E"/>
    <w:rsid w:val="008E551C"/>
    <w:rsid w:val="008E651F"/>
    <w:rsid w:val="008E6F64"/>
    <w:rsid w:val="008E74B8"/>
    <w:rsid w:val="008F0836"/>
    <w:rsid w:val="008F1C0A"/>
    <w:rsid w:val="008F26C4"/>
    <w:rsid w:val="008F432E"/>
    <w:rsid w:val="008F621D"/>
    <w:rsid w:val="008F77BA"/>
    <w:rsid w:val="008F7EE9"/>
    <w:rsid w:val="00906EAF"/>
    <w:rsid w:val="0090748D"/>
    <w:rsid w:val="009105A6"/>
    <w:rsid w:val="009136A2"/>
    <w:rsid w:val="009141D7"/>
    <w:rsid w:val="00914A99"/>
    <w:rsid w:val="009163F7"/>
    <w:rsid w:val="00917752"/>
    <w:rsid w:val="00920650"/>
    <w:rsid w:val="00920B4F"/>
    <w:rsid w:val="00920F36"/>
    <w:rsid w:val="00923648"/>
    <w:rsid w:val="0092727D"/>
    <w:rsid w:val="00927E3F"/>
    <w:rsid w:val="00931289"/>
    <w:rsid w:val="00931C31"/>
    <w:rsid w:val="00932319"/>
    <w:rsid w:val="009329A1"/>
    <w:rsid w:val="00933F5E"/>
    <w:rsid w:val="00934316"/>
    <w:rsid w:val="0093657B"/>
    <w:rsid w:val="009429CC"/>
    <w:rsid w:val="009471BA"/>
    <w:rsid w:val="00953648"/>
    <w:rsid w:val="009541D1"/>
    <w:rsid w:val="00957058"/>
    <w:rsid w:val="00960D8A"/>
    <w:rsid w:val="009611CF"/>
    <w:rsid w:val="00961AC1"/>
    <w:rsid w:val="009653C6"/>
    <w:rsid w:val="009658CA"/>
    <w:rsid w:val="0097157A"/>
    <w:rsid w:val="00980882"/>
    <w:rsid w:val="009811FC"/>
    <w:rsid w:val="009819DC"/>
    <w:rsid w:val="009825A1"/>
    <w:rsid w:val="0098469F"/>
    <w:rsid w:val="00984D1B"/>
    <w:rsid w:val="00986631"/>
    <w:rsid w:val="0099163C"/>
    <w:rsid w:val="00993C48"/>
    <w:rsid w:val="009943FC"/>
    <w:rsid w:val="00994E3C"/>
    <w:rsid w:val="009955AD"/>
    <w:rsid w:val="009A0C7C"/>
    <w:rsid w:val="009A2721"/>
    <w:rsid w:val="009A439A"/>
    <w:rsid w:val="009A4AAB"/>
    <w:rsid w:val="009A4E1C"/>
    <w:rsid w:val="009A4EA5"/>
    <w:rsid w:val="009A6A86"/>
    <w:rsid w:val="009A7942"/>
    <w:rsid w:val="009B00EE"/>
    <w:rsid w:val="009B05F9"/>
    <w:rsid w:val="009B3B10"/>
    <w:rsid w:val="009B5BAB"/>
    <w:rsid w:val="009B799C"/>
    <w:rsid w:val="009C1C03"/>
    <w:rsid w:val="009C21BE"/>
    <w:rsid w:val="009C44BC"/>
    <w:rsid w:val="009C516F"/>
    <w:rsid w:val="009C59F8"/>
    <w:rsid w:val="009C601D"/>
    <w:rsid w:val="009C75C3"/>
    <w:rsid w:val="009D24BB"/>
    <w:rsid w:val="009D5E52"/>
    <w:rsid w:val="009D714C"/>
    <w:rsid w:val="009D7E6E"/>
    <w:rsid w:val="009E110B"/>
    <w:rsid w:val="009E14A2"/>
    <w:rsid w:val="009E20EB"/>
    <w:rsid w:val="009E2CF0"/>
    <w:rsid w:val="009E478E"/>
    <w:rsid w:val="009E4A10"/>
    <w:rsid w:val="009E590F"/>
    <w:rsid w:val="009E66A7"/>
    <w:rsid w:val="009E72A7"/>
    <w:rsid w:val="009F19CE"/>
    <w:rsid w:val="009F22E7"/>
    <w:rsid w:val="009F5B5E"/>
    <w:rsid w:val="00A05234"/>
    <w:rsid w:val="00A067AF"/>
    <w:rsid w:val="00A10FB5"/>
    <w:rsid w:val="00A13B78"/>
    <w:rsid w:val="00A177EE"/>
    <w:rsid w:val="00A20A57"/>
    <w:rsid w:val="00A2115B"/>
    <w:rsid w:val="00A2212E"/>
    <w:rsid w:val="00A225C0"/>
    <w:rsid w:val="00A25192"/>
    <w:rsid w:val="00A26C3A"/>
    <w:rsid w:val="00A3066D"/>
    <w:rsid w:val="00A311E8"/>
    <w:rsid w:val="00A345D4"/>
    <w:rsid w:val="00A37EE7"/>
    <w:rsid w:val="00A40C8F"/>
    <w:rsid w:val="00A41E7F"/>
    <w:rsid w:val="00A41FC0"/>
    <w:rsid w:val="00A42262"/>
    <w:rsid w:val="00A44218"/>
    <w:rsid w:val="00A44BDA"/>
    <w:rsid w:val="00A51262"/>
    <w:rsid w:val="00A52C77"/>
    <w:rsid w:val="00A53D2A"/>
    <w:rsid w:val="00A55258"/>
    <w:rsid w:val="00A60DA5"/>
    <w:rsid w:val="00A67A15"/>
    <w:rsid w:val="00A737AD"/>
    <w:rsid w:val="00A73C01"/>
    <w:rsid w:val="00A75B21"/>
    <w:rsid w:val="00A854B8"/>
    <w:rsid w:val="00A854D6"/>
    <w:rsid w:val="00A85B72"/>
    <w:rsid w:val="00A878CD"/>
    <w:rsid w:val="00A87DF0"/>
    <w:rsid w:val="00A903D5"/>
    <w:rsid w:val="00A91C3C"/>
    <w:rsid w:val="00A92EAB"/>
    <w:rsid w:val="00A93A38"/>
    <w:rsid w:val="00A956B7"/>
    <w:rsid w:val="00A974DD"/>
    <w:rsid w:val="00AA027E"/>
    <w:rsid w:val="00AA0717"/>
    <w:rsid w:val="00AA592D"/>
    <w:rsid w:val="00AB2868"/>
    <w:rsid w:val="00AB4AB6"/>
    <w:rsid w:val="00AB56C4"/>
    <w:rsid w:val="00AC0CEC"/>
    <w:rsid w:val="00AC6225"/>
    <w:rsid w:val="00AC7116"/>
    <w:rsid w:val="00AD09D1"/>
    <w:rsid w:val="00AD3C5B"/>
    <w:rsid w:val="00AD4490"/>
    <w:rsid w:val="00AF0B84"/>
    <w:rsid w:val="00AF2C24"/>
    <w:rsid w:val="00AF2D00"/>
    <w:rsid w:val="00AF32A3"/>
    <w:rsid w:val="00AF4F9B"/>
    <w:rsid w:val="00AF7B3A"/>
    <w:rsid w:val="00B00816"/>
    <w:rsid w:val="00B00918"/>
    <w:rsid w:val="00B00A1F"/>
    <w:rsid w:val="00B01C77"/>
    <w:rsid w:val="00B048D9"/>
    <w:rsid w:val="00B05006"/>
    <w:rsid w:val="00B05CF5"/>
    <w:rsid w:val="00B10B3E"/>
    <w:rsid w:val="00B1149B"/>
    <w:rsid w:val="00B25FF3"/>
    <w:rsid w:val="00B26B02"/>
    <w:rsid w:val="00B3050D"/>
    <w:rsid w:val="00B30F71"/>
    <w:rsid w:val="00B332F2"/>
    <w:rsid w:val="00B33B3E"/>
    <w:rsid w:val="00B344DB"/>
    <w:rsid w:val="00B40EF2"/>
    <w:rsid w:val="00B42077"/>
    <w:rsid w:val="00B438A0"/>
    <w:rsid w:val="00B508BD"/>
    <w:rsid w:val="00B51F48"/>
    <w:rsid w:val="00B53EF9"/>
    <w:rsid w:val="00B540BA"/>
    <w:rsid w:val="00B5628A"/>
    <w:rsid w:val="00B56812"/>
    <w:rsid w:val="00B56B5D"/>
    <w:rsid w:val="00B56D8B"/>
    <w:rsid w:val="00B6026B"/>
    <w:rsid w:val="00B60F58"/>
    <w:rsid w:val="00B66A44"/>
    <w:rsid w:val="00B674EC"/>
    <w:rsid w:val="00B7266D"/>
    <w:rsid w:val="00B744E3"/>
    <w:rsid w:val="00B76E15"/>
    <w:rsid w:val="00B77E5B"/>
    <w:rsid w:val="00B800C9"/>
    <w:rsid w:val="00B816A3"/>
    <w:rsid w:val="00B83BFE"/>
    <w:rsid w:val="00B851AC"/>
    <w:rsid w:val="00B859D4"/>
    <w:rsid w:val="00B87A8E"/>
    <w:rsid w:val="00B9096E"/>
    <w:rsid w:val="00B9192F"/>
    <w:rsid w:val="00B91B70"/>
    <w:rsid w:val="00B921C4"/>
    <w:rsid w:val="00B928AB"/>
    <w:rsid w:val="00B94754"/>
    <w:rsid w:val="00BA0F02"/>
    <w:rsid w:val="00BA10BE"/>
    <w:rsid w:val="00BA4A9E"/>
    <w:rsid w:val="00BB004E"/>
    <w:rsid w:val="00BB422A"/>
    <w:rsid w:val="00BB517E"/>
    <w:rsid w:val="00BB60E9"/>
    <w:rsid w:val="00BB73FD"/>
    <w:rsid w:val="00BB74BD"/>
    <w:rsid w:val="00BB7554"/>
    <w:rsid w:val="00BB7613"/>
    <w:rsid w:val="00BB77DA"/>
    <w:rsid w:val="00BC05A1"/>
    <w:rsid w:val="00BC111D"/>
    <w:rsid w:val="00BC3046"/>
    <w:rsid w:val="00BC49F3"/>
    <w:rsid w:val="00BC53DF"/>
    <w:rsid w:val="00BD08CC"/>
    <w:rsid w:val="00BD131A"/>
    <w:rsid w:val="00BD1BE6"/>
    <w:rsid w:val="00BD2BD4"/>
    <w:rsid w:val="00BD3149"/>
    <w:rsid w:val="00BD355D"/>
    <w:rsid w:val="00BD416A"/>
    <w:rsid w:val="00BD50DA"/>
    <w:rsid w:val="00BD7157"/>
    <w:rsid w:val="00BE4573"/>
    <w:rsid w:val="00BE4D8D"/>
    <w:rsid w:val="00BF3989"/>
    <w:rsid w:val="00BF4E02"/>
    <w:rsid w:val="00C07143"/>
    <w:rsid w:val="00C07C21"/>
    <w:rsid w:val="00C07FF2"/>
    <w:rsid w:val="00C13659"/>
    <w:rsid w:val="00C15807"/>
    <w:rsid w:val="00C21014"/>
    <w:rsid w:val="00C21962"/>
    <w:rsid w:val="00C221B2"/>
    <w:rsid w:val="00C237F3"/>
    <w:rsid w:val="00C2396C"/>
    <w:rsid w:val="00C24BC1"/>
    <w:rsid w:val="00C25ED2"/>
    <w:rsid w:val="00C26D7D"/>
    <w:rsid w:val="00C32687"/>
    <w:rsid w:val="00C33AD2"/>
    <w:rsid w:val="00C3488C"/>
    <w:rsid w:val="00C3525B"/>
    <w:rsid w:val="00C35B15"/>
    <w:rsid w:val="00C36ACA"/>
    <w:rsid w:val="00C40E04"/>
    <w:rsid w:val="00C42EC5"/>
    <w:rsid w:val="00C44453"/>
    <w:rsid w:val="00C45730"/>
    <w:rsid w:val="00C46514"/>
    <w:rsid w:val="00C508E7"/>
    <w:rsid w:val="00C53859"/>
    <w:rsid w:val="00C56BEE"/>
    <w:rsid w:val="00C57C47"/>
    <w:rsid w:val="00C60A08"/>
    <w:rsid w:val="00C62615"/>
    <w:rsid w:val="00C64169"/>
    <w:rsid w:val="00C64E5A"/>
    <w:rsid w:val="00C65917"/>
    <w:rsid w:val="00C701E1"/>
    <w:rsid w:val="00C72391"/>
    <w:rsid w:val="00C7312A"/>
    <w:rsid w:val="00C73428"/>
    <w:rsid w:val="00C743BE"/>
    <w:rsid w:val="00C75FCA"/>
    <w:rsid w:val="00C76FAA"/>
    <w:rsid w:val="00C77DEF"/>
    <w:rsid w:val="00C86842"/>
    <w:rsid w:val="00C91A37"/>
    <w:rsid w:val="00C9271A"/>
    <w:rsid w:val="00C938DF"/>
    <w:rsid w:val="00C94470"/>
    <w:rsid w:val="00C94E69"/>
    <w:rsid w:val="00C9673A"/>
    <w:rsid w:val="00CA2091"/>
    <w:rsid w:val="00CA20F8"/>
    <w:rsid w:val="00CB16D7"/>
    <w:rsid w:val="00CB3260"/>
    <w:rsid w:val="00CB44A6"/>
    <w:rsid w:val="00CB5453"/>
    <w:rsid w:val="00CB5A95"/>
    <w:rsid w:val="00CB6556"/>
    <w:rsid w:val="00CB7992"/>
    <w:rsid w:val="00CC634C"/>
    <w:rsid w:val="00CC7E97"/>
    <w:rsid w:val="00CD06EB"/>
    <w:rsid w:val="00CD1AED"/>
    <w:rsid w:val="00CD1BBE"/>
    <w:rsid w:val="00CD39D9"/>
    <w:rsid w:val="00CD3E7D"/>
    <w:rsid w:val="00CD5762"/>
    <w:rsid w:val="00CD5FFB"/>
    <w:rsid w:val="00CD69A1"/>
    <w:rsid w:val="00CD7D0E"/>
    <w:rsid w:val="00CE1466"/>
    <w:rsid w:val="00CE1DE7"/>
    <w:rsid w:val="00CE35B5"/>
    <w:rsid w:val="00CE60D0"/>
    <w:rsid w:val="00CF29D0"/>
    <w:rsid w:val="00CF372F"/>
    <w:rsid w:val="00D040C7"/>
    <w:rsid w:val="00D05157"/>
    <w:rsid w:val="00D0747F"/>
    <w:rsid w:val="00D10F1D"/>
    <w:rsid w:val="00D1535C"/>
    <w:rsid w:val="00D16967"/>
    <w:rsid w:val="00D1782C"/>
    <w:rsid w:val="00D17E65"/>
    <w:rsid w:val="00D21DC6"/>
    <w:rsid w:val="00D22A2F"/>
    <w:rsid w:val="00D24F57"/>
    <w:rsid w:val="00D2686C"/>
    <w:rsid w:val="00D26953"/>
    <w:rsid w:val="00D27BDB"/>
    <w:rsid w:val="00D3114D"/>
    <w:rsid w:val="00D31E76"/>
    <w:rsid w:val="00D337CE"/>
    <w:rsid w:val="00D354A4"/>
    <w:rsid w:val="00D35E74"/>
    <w:rsid w:val="00D367CD"/>
    <w:rsid w:val="00D375B5"/>
    <w:rsid w:val="00D37DD3"/>
    <w:rsid w:val="00D40599"/>
    <w:rsid w:val="00D40609"/>
    <w:rsid w:val="00D41FFC"/>
    <w:rsid w:val="00D42AA4"/>
    <w:rsid w:val="00D5152E"/>
    <w:rsid w:val="00D51F81"/>
    <w:rsid w:val="00D52383"/>
    <w:rsid w:val="00D53138"/>
    <w:rsid w:val="00D54A37"/>
    <w:rsid w:val="00D573B3"/>
    <w:rsid w:val="00D578ED"/>
    <w:rsid w:val="00D57E7E"/>
    <w:rsid w:val="00D6018E"/>
    <w:rsid w:val="00D6083E"/>
    <w:rsid w:val="00D61E93"/>
    <w:rsid w:val="00D625CA"/>
    <w:rsid w:val="00D67735"/>
    <w:rsid w:val="00D7245E"/>
    <w:rsid w:val="00D73D31"/>
    <w:rsid w:val="00D765BD"/>
    <w:rsid w:val="00D7792D"/>
    <w:rsid w:val="00D81782"/>
    <w:rsid w:val="00D8461C"/>
    <w:rsid w:val="00D852CC"/>
    <w:rsid w:val="00D876C5"/>
    <w:rsid w:val="00D879D7"/>
    <w:rsid w:val="00D87C9B"/>
    <w:rsid w:val="00DA3392"/>
    <w:rsid w:val="00DA50A0"/>
    <w:rsid w:val="00DA63EA"/>
    <w:rsid w:val="00DA6A2E"/>
    <w:rsid w:val="00DB30B8"/>
    <w:rsid w:val="00DB4F62"/>
    <w:rsid w:val="00DB71B2"/>
    <w:rsid w:val="00DC0A6A"/>
    <w:rsid w:val="00DC4C3C"/>
    <w:rsid w:val="00DC6BF0"/>
    <w:rsid w:val="00DD1680"/>
    <w:rsid w:val="00DD2230"/>
    <w:rsid w:val="00DD2667"/>
    <w:rsid w:val="00DD2E14"/>
    <w:rsid w:val="00DD3401"/>
    <w:rsid w:val="00DD3D8D"/>
    <w:rsid w:val="00DD68A6"/>
    <w:rsid w:val="00DD72A5"/>
    <w:rsid w:val="00DE03BD"/>
    <w:rsid w:val="00DE05DD"/>
    <w:rsid w:val="00DE16F2"/>
    <w:rsid w:val="00DE1A4B"/>
    <w:rsid w:val="00DE29E1"/>
    <w:rsid w:val="00DE3395"/>
    <w:rsid w:val="00DE3B7B"/>
    <w:rsid w:val="00DE42AE"/>
    <w:rsid w:val="00DF0B19"/>
    <w:rsid w:val="00DF403C"/>
    <w:rsid w:val="00DF7CA9"/>
    <w:rsid w:val="00DF7FEC"/>
    <w:rsid w:val="00E0115B"/>
    <w:rsid w:val="00E01345"/>
    <w:rsid w:val="00E03AC9"/>
    <w:rsid w:val="00E045B5"/>
    <w:rsid w:val="00E05856"/>
    <w:rsid w:val="00E07841"/>
    <w:rsid w:val="00E1023F"/>
    <w:rsid w:val="00E1481E"/>
    <w:rsid w:val="00E15B76"/>
    <w:rsid w:val="00E15BC5"/>
    <w:rsid w:val="00E16835"/>
    <w:rsid w:val="00E168EE"/>
    <w:rsid w:val="00E21785"/>
    <w:rsid w:val="00E24908"/>
    <w:rsid w:val="00E266A5"/>
    <w:rsid w:val="00E307AB"/>
    <w:rsid w:val="00E309F9"/>
    <w:rsid w:val="00E3132A"/>
    <w:rsid w:val="00E31913"/>
    <w:rsid w:val="00E32E81"/>
    <w:rsid w:val="00E34865"/>
    <w:rsid w:val="00E4204E"/>
    <w:rsid w:val="00E4349A"/>
    <w:rsid w:val="00E43E7A"/>
    <w:rsid w:val="00E445DB"/>
    <w:rsid w:val="00E45834"/>
    <w:rsid w:val="00E47469"/>
    <w:rsid w:val="00E477DB"/>
    <w:rsid w:val="00E50BD4"/>
    <w:rsid w:val="00E54EEF"/>
    <w:rsid w:val="00E60137"/>
    <w:rsid w:val="00E614B1"/>
    <w:rsid w:val="00E6710F"/>
    <w:rsid w:val="00E714BB"/>
    <w:rsid w:val="00E71FC4"/>
    <w:rsid w:val="00E7231B"/>
    <w:rsid w:val="00E72615"/>
    <w:rsid w:val="00E72D07"/>
    <w:rsid w:val="00E73293"/>
    <w:rsid w:val="00E749D5"/>
    <w:rsid w:val="00E7690B"/>
    <w:rsid w:val="00E76A33"/>
    <w:rsid w:val="00E77313"/>
    <w:rsid w:val="00E8051A"/>
    <w:rsid w:val="00E82990"/>
    <w:rsid w:val="00E83E8C"/>
    <w:rsid w:val="00E9084F"/>
    <w:rsid w:val="00E908B9"/>
    <w:rsid w:val="00E911CD"/>
    <w:rsid w:val="00E9255F"/>
    <w:rsid w:val="00E9322E"/>
    <w:rsid w:val="00E93804"/>
    <w:rsid w:val="00E96A13"/>
    <w:rsid w:val="00E9774A"/>
    <w:rsid w:val="00E977B6"/>
    <w:rsid w:val="00EA1801"/>
    <w:rsid w:val="00EA1AD0"/>
    <w:rsid w:val="00EA2F55"/>
    <w:rsid w:val="00EA370D"/>
    <w:rsid w:val="00EA4BAA"/>
    <w:rsid w:val="00EA56DA"/>
    <w:rsid w:val="00EA593A"/>
    <w:rsid w:val="00EB0C77"/>
    <w:rsid w:val="00EB143C"/>
    <w:rsid w:val="00EB1F16"/>
    <w:rsid w:val="00EB5EDE"/>
    <w:rsid w:val="00EC1C6C"/>
    <w:rsid w:val="00EC1E50"/>
    <w:rsid w:val="00EC70DF"/>
    <w:rsid w:val="00EC7104"/>
    <w:rsid w:val="00EC7A6D"/>
    <w:rsid w:val="00ED1977"/>
    <w:rsid w:val="00ED423D"/>
    <w:rsid w:val="00ED52AB"/>
    <w:rsid w:val="00ED5922"/>
    <w:rsid w:val="00ED689E"/>
    <w:rsid w:val="00ED70F9"/>
    <w:rsid w:val="00EE084C"/>
    <w:rsid w:val="00EE1119"/>
    <w:rsid w:val="00EE1387"/>
    <w:rsid w:val="00EE2409"/>
    <w:rsid w:val="00EE3646"/>
    <w:rsid w:val="00EE5A5D"/>
    <w:rsid w:val="00EE7AD8"/>
    <w:rsid w:val="00EF26F7"/>
    <w:rsid w:val="00EF27F6"/>
    <w:rsid w:val="00EF2D1A"/>
    <w:rsid w:val="00EF7193"/>
    <w:rsid w:val="00F00B1D"/>
    <w:rsid w:val="00F00C77"/>
    <w:rsid w:val="00F02105"/>
    <w:rsid w:val="00F0362A"/>
    <w:rsid w:val="00F054C5"/>
    <w:rsid w:val="00F062E2"/>
    <w:rsid w:val="00F06D9F"/>
    <w:rsid w:val="00F107A0"/>
    <w:rsid w:val="00F10BD0"/>
    <w:rsid w:val="00F11E48"/>
    <w:rsid w:val="00F12354"/>
    <w:rsid w:val="00F13ECC"/>
    <w:rsid w:val="00F15B82"/>
    <w:rsid w:val="00F17B52"/>
    <w:rsid w:val="00F17CE4"/>
    <w:rsid w:val="00F22DEF"/>
    <w:rsid w:val="00F239A8"/>
    <w:rsid w:val="00F23C10"/>
    <w:rsid w:val="00F25404"/>
    <w:rsid w:val="00F255D6"/>
    <w:rsid w:val="00F27124"/>
    <w:rsid w:val="00F27CFC"/>
    <w:rsid w:val="00F34C6F"/>
    <w:rsid w:val="00F405EE"/>
    <w:rsid w:val="00F413AF"/>
    <w:rsid w:val="00F4352E"/>
    <w:rsid w:val="00F4786B"/>
    <w:rsid w:val="00F509CF"/>
    <w:rsid w:val="00F50B1B"/>
    <w:rsid w:val="00F52780"/>
    <w:rsid w:val="00F54B40"/>
    <w:rsid w:val="00F553A0"/>
    <w:rsid w:val="00F555A3"/>
    <w:rsid w:val="00F56E45"/>
    <w:rsid w:val="00F57D9D"/>
    <w:rsid w:val="00F610A3"/>
    <w:rsid w:val="00F638EB"/>
    <w:rsid w:val="00F65818"/>
    <w:rsid w:val="00F70EAF"/>
    <w:rsid w:val="00F80113"/>
    <w:rsid w:val="00F8397C"/>
    <w:rsid w:val="00F83FA7"/>
    <w:rsid w:val="00F869B9"/>
    <w:rsid w:val="00F86B0B"/>
    <w:rsid w:val="00F91003"/>
    <w:rsid w:val="00F92A17"/>
    <w:rsid w:val="00F93F0B"/>
    <w:rsid w:val="00F9522F"/>
    <w:rsid w:val="00F95285"/>
    <w:rsid w:val="00FA014D"/>
    <w:rsid w:val="00FA0604"/>
    <w:rsid w:val="00FA2123"/>
    <w:rsid w:val="00FA4EA7"/>
    <w:rsid w:val="00FA5066"/>
    <w:rsid w:val="00FA710E"/>
    <w:rsid w:val="00FB6E73"/>
    <w:rsid w:val="00FB7677"/>
    <w:rsid w:val="00FC0B07"/>
    <w:rsid w:val="00FC0B51"/>
    <w:rsid w:val="00FC2A60"/>
    <w:rsid w:val="00FC2CFF"/>
    <w:rsid w:val="00FC32D0"/>
    <w:rsid w:val="00FC3EE1"/>
    <w:rsid w:val="00FC41E2"/>
    <w:rsid w:val="00FD09AE"/>
    <w:rsid w:val="00FD1A94"/>
    <w:rsid w:val="00FD2DDE"/>
    <w:rsid w:val="00FD30AB"/>
    <w:rsid w:val="00FD5087"/>
    <w:rsid w:val="00FD594A"/>
    <w:rsid w:val="00FE02E6"/>
    <w:rsid w:val="00FE3B48"/>
    <w:rsid w:val="00FE42E0"/>
    <w:rsid w:val="00FE54EA"/>
    <w:rsid w:val="00FE7824"/>
    <w:rsid w:val="00FE7F99"/>
    <w:rsid w:val="00FF0442"/>
    <w:rsid w:val="00FF29ED"/>
    <w:rsid w:val="00FF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1689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16894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0D5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56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5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D56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D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DE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13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VarsaylanParagrafYazTipi"/>
    <w:link w:val="Bodytext0"/>
    <w:rsid w:val="00EF719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EF7193"/>
    <w:rPr>
      <w:b/>
      <w:bCs/>
    </w:rPr>
  </w:style>
  <w:style w:type="paragraph" w:customStyle="1" w:styleId="Bodytext0">
    <w:name w:val="Body text"/>
    <w:basedOn w:val="Normal"/>
    <w:link w:val="Bodytext"/>
    <w:rsid w:val="00EF7193"/>
    <w:pPr>
      <w:shd w:val="clear" w:color="auto" w:fill="FFFFFF"/>
      <w:spacing w:before="60" w:after="420" w:line="0" w:lineRule="atLeast"/>
    </w:pPr>
    <w:rPr>
      <w:rFonts w:ascii="Book Antiqua" w:eastAsia="Book Antiqua" w:hAnsi="Book Antiqua" w:cs="Book Antiqua"/>
      <w:sz w:val="20"/>
      <w:szCs w:val="20"/>
      <w:lang w:eastAsia="en-US"/>
    </w:rPr>
  </w:style>
  <w:style w:type="character" w:customStyle="1" w:styleId="Bodytext9">
    <w:name w:val="Body text (9)_"/>
    <w:basedOn w:val="VarsaylanParagrafYazTipi"/>
    <w:rsid w:val="00EF719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pt">
    <w:name w:val="Body text + 8 pt"/>
    <w:basedOn w:val="Bodytext"/>
    <w:rsid w:val="00EF7193"/>
    <w:rPr>
      <w:sz w:val="16"/>
      <w:szCs w:val="16"/>
    </w:rPr>
  </w:style>
  <w:style w:type="character" w:customStyle="1" w:styleId="Bodytext90">
    <w:name w:val="Body text (9)"/>
    <w:basedOn w:val="Bodytext9"/>
    <w:rsid w:val="00EF7193"/>
  </w:style>
  <w:style w:type="character" w:customStyle="1" w:styleId="Tablecaption">
    <w:name w:val="Table caption"/>
    <w:basedOn w:val="VarsaylanParagrafYazTipi"/>
    <w:rsid w:val="0007235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4">
    <w:name w:val="Body text (14)"/>
    <w:basedOn w:val="VarsaylanParagrafYazTipi"/>
    <w:rsid w:val="00F70E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1">
    <w:name w:val="Body text (11)"/>
    <w:basedOn w:val="VarsaylanParagrafYazTipi"/>
    <w:rsid w:val="00F70E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caption2">
    <w:name w:val="Table caption (2)"/>
    <w:basedOn w:val="VarsaylanParagrafYazTipi"/>
    <w:rsid w:val="00F70E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3">
    <w:name w:val="Body text (13)"/>
    <w:basedOn w:val="VarsaylanParagrafYazTipi"/>
    <w:rsid w:val="00F70E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32">
    <w:name w:val="Body text (32)"/>
    <w:basedOn w:val="VarsaylanParagrafYazTipi"/>
    <w:rsid w:val="00F70E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23">
    <w:name w:val="Body text (23)"/>
    <w:basedOn w:val="VarsaylanParagrafYazTipi"/>
    <w:rsid w:val="00F70E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zine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zine.gov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zine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zine.gov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2D61-4FD7-492B-9592-0E06E731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Feride</cp:lastModifiedBy>
  <cp:revision>54</cp:revision>
  <cp:lastPrinted>2018-05-22T08:32:00Z</cp:lastPrinted>
  <dcterms:created xsi:type="dcterms:W3CDTF">2018-05-21T12:44:00Z</dcterms:created>
  <dcterms:modified xsi:type="dcterms:W3CDTF">2018-05-28T08:10:00Z</dcterms:modified>
</cp:coreProperties>
</file>